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B5" w:rsidRDefault="00DF7DB5" w:rsidP="008E6E36">
      <w:pPr>
        <w:pStyle w:val="Textoindependiente"/>
        <w:widowControl/>
        <w:tabs>
          <w:tab w:val="left" w:pos="6379"/>
        </w:tabs>
        <w:suppressAutoHyphens w:val="0"/>
        <w:ind w:left="3402" w:right="2268" w:hanging="992"/>
        <w:rPr>
          <w:rFonts w:cs="Tahoma"/>
          <w:b/>
          <w:i/>
          <w:sz w:val="20"/>
        </w:rPr>
      </w:pPr>
    </w:p>
    <w:p w:rsidR="00DF7DB5" w:rsidRDefault="00DF7DB5" w:rsidP="008E6E36">
      <w:pPr>
        <w:pStyle w:val="Textoindependiente"/>
        <w:widowControl/>
        <w:tabs>
          <w:tab w:val="left" w:pos="6379"/>
        </w:tabs>
        <w:suppressAutoHyphens w:val="0"/>
        <w:ind w:left="3402" w:right="2268" w:hanging="992"/>
        <w:rPr>
          <w:rFonts w:cs="Tahoma"/>
          <w:b/>
          <w:i/>
          <w:sz w:val="20"/>
        </w:rPr>
      </w:pPr>
    </w:p>
    <w:p w:rsidR="00DF7DB5" w:rsidRDefault="00DF7DB5" w:rsidP="008E6E36">
      <w:pPr>
        <w:pStyle w:val="Textoindependiente"/>
        <w:widowControl/>
        <w:tabs>
          <w:tab w:val="left" w:pos="6379"/>
        </w:tabs>
        <w:suppressAutoHyphens w:val="0"/>
        <w:ind w:left="3402" w:right="2268" w:hanging="992"/>
        <w:rPr>
          <w:rFonts w:cs="Tahoma"/>
          <w:b/>
          <w:i/>
          <w:sz w:val="20"/>
        </w:rPr>
      </w:pPr>
    </w:p>
    <w:p w:rsidR="00DF7DB5" w:rsidRDefault="00DF7DB5" w:rsidP="008E6E36">
      <w:pPr>
        <w:pStyle w:val="Textoindependiente"/>
        <w:widowControl/>
        <w:tabs>
          <w:tab w:val="left" w:pos="6379"/>
        </w:tabs>
        <w:suppressAutoHyphens w:val="0"/>
        <w:ind w:left="3402" w:right="2268" w:hanging="992"/>
        <w:rPr>
          <w:rFonts w:cs="Tahoma"/>
          <w:b/>
          <w:i/>
          <w:sz w:val="20"/>
        </w:rPr>
      </w:pPr>
    </w:p>
    <w:p w:rsidR="00DF7DB5" w:rsidRDefault="00DF7DB5" w:rsidP="008E6E36">
      <w:pPr>
        <w:pStyle w:val="Textoindependiente"/>
        <w:widowControl/>
        <w:tabs>
          <w:tab w:val="left" w:pos="6379"/>
        </w:tabs>
        <w:suppressAutoHyphens w:val="0"/>
        <w:ind w:left="3402" w:right="2268" w:hanging="992"/>
        <w:rPr>
          <w:rFonts w:cs="Tahoma"/>
          <w:b/>
          <w:i/>
          <w:sz w:val="20"/>
        </w:rPr>
      </w:pPr>
    </w:p>
    <w:p w:rsidR="00DF7DB5" w:rsidRDefault="00DF7DB5" w:rsidP="008E6E36">
      <w:pPr>
        <w:pStyle w:val="Textoindependiente"/>
        <w:widowControl/>
        <w:tabs>
          <w:tab w:val="left" w:pos="6379"/>
        </w:tabs>
        <w:suppressAutoHyphens w:val="0"/>
        <w:ind w:left="3402" w:right="2268" w:hanging="992"/>
        <w:rPr>
          <w:rFonts w:cs="Tahoma"/>
          <w:b/>
          <w:i/>
          <w:sz w:val="20"/>
        </w:rPr>
      </w:pPr>
    </w:p>
    <w:p w:rsidR="008E6E36" w:rsidRPr="00A25186" w:rsidRDefault="008E6E36" w:rsidP="008E6E36">
      <w:pPr>
        <w:pStyle w:val="Textoindependiente"/>
        <w:widowControl/>
        <w:tabs>
          <w:tab w:val="left" w:pos="6379"/>
        </w:tabs>
        <w:suppressAutoHyphens w:val="0"/>
        <w:ind w:left="3402" w:right="2268" w:hanging="992"/>
        <w:rPr>
          <w:rFonts w:cs="Tahoma"/>
          <w:i/>
          <w:sz w:val="20"/>
        </w:rPr>
      </w:pPr>
      <w:r w:rsidRPr="008E6E36">
        <w:rPr>
          <w:rFonts w:cs="Tahoma"/>
          <w:b/>
          <w:i/>
          <w:sz w:val="20"/>
        </w:rPr>
        <w:t>Sumilla</w:t>
      </w:r>
      <w:r w:rsidRPr="008E6E36">
        <w:rPr>
          <w:rFonts w:cs="Tahoma"/>
          <w:i/>
          <w:sz w:val="20"/>
        </w:rPr>
        <w:t xml:space="preserve">: </w:t>
      </w:r>
      <w:r w:rsidRPr="008E6E36">
        <w:rPr>
          <w:rFonts w:cs="Tahoma"/>
          <w:i/>
          <w:sz w:val="20"/>
        </w:rPr>
        <w:tab/>
      </w:r>
      <w:r w:rsidR="00B849AF" w:rsidRPr="00A25186">
        <w:rPr>
          <w:rFonts w:cs="Tahoma"/>
          <w:i/>
          <w:sz w:val="20"/>
        </w:rPr>
        <w:t>En caso de incumplimiento contractual de una de las partes, la parte que resulte perjudicada con tal hecho requerirá a la otra notarialmente para que satisfaga sus obligaciones en un plazo no mayor de cinco días, bajo apercibimiento de resolver el contrato</w:t>
      </w:r>
      <w:r w:rsidRPr="00A25186">
        <w:rPr>
          <w:rFonts w:cs="Tahoma"/>
          <w:i/>
          <w:sz w:val="20"/>
        </w:rPr>
        <w:t xml:space="preserve">.  </w:t>
      </w:r>
    </w:p>
    <w:p w:rsidR="008E6E36" w:rsidRPr="008E6E36" w:rsidRDefault="008E6E36" w:rsidP="008E6E36">
      <w:pPr>
        <w:pStyle w:val="Textoindependiente"/>
        <w:widowControl/>
        <w:tabs>
          <w:tab w:val="left" w:pos="6237"/>
          <w:tab w:val="left" w:pos="6521"/>
        </w:tabs>
        <w:suppressAutoHyphens w:val="0"/>
        <w:ind w:left="3686" w:right="2410" w:hanging="992"/>
        <w:rPr>
          <w:rFonts w:cs="Tahoma"/>
          <w:sz w:val="20"/>
        </w:rPr>
      </w:pPr>
      <w:r w:rsidRPr="008E6E36">
        <w:rPr>
          <w:rFonts w:cs="Tahoma"/>
          <w:i/>
          <w:sz w:val="20"/>
        </w:rPr>
        <w:t xml:space="preserve">  </w:t>
      </w:r>
      <w:r w:rsidRPr="008E6E36">
        <w:rPr>
          <w:rFonts w:cs="Tahoma"/>
          <w:sz w:val="20"/>
        </w:rPr>
        <w:t xml:space="preserve"> </w:t>
      </w:r>
    </w:p>
    <w:p w:rsidR="008E6E36" w:rsidRPr="008E6E36" w:rsidRDefault="008E6E36" w:rsidP="008E6E36">
      <w:pPr>
        <w:pStyle w:val="Textoindependiente3"/>
        <w:spacing w:after="0"/>
        <w:ind w:left="4956" w:firstLine="84"/>
        <w:jc w:val="both"/>
        <w:rPr>
          <w:rFonts w:ascii="Tahoma" w:hAnsi="Tahoma" w:cs="Tahoma"/>
          <w:b/>
          <w:sz w:val="20"/>
          <w:szCs w:val="20"/>
        </w:rPr>
      </w:pPr>
      <w:r w:rsidRPr="008E6E36">
        <w:rPr>
          <w:rFonts w:ascii="Tahoma" w:hAnsi="Tahoma" w:cs="Tahoma"/>
          <w:b/>
          <w:sz w:val="20"/>
          <w:szCs w:val="20"/>
        </w:rPr>
        <w:t xml:space="preserve">Lima,  </w:t>
      </w:r>
      <w:r w:rsidR="00DF7DB5">
        <w:rPr>
          <w:rFonts w:ascii="Tahoma" w:hAnsi="Tahoma" w:cs="Tahoma"/>
          <w:b/>
          <w:sz w:val="20"/>
          <w:szCs w:val="20"/>
        </w:rPr>
        <w:t>27 de Enero de 2011</w:t>
      </w:r>
    </w:p>
    <w:p w:rsidR="008E6E36" w:rsidRPr="008E6E36" w:rsidRDefault="008E6E36" w:rsidP="008E6E36">
      <w:pPr>
        <w:pStyle w:val="Textoindependiente"/>
        <w:tabs>
          <w:tab w:val="left" w:pos="540"/>
        </w:tabs>
        <w:rPr>
          <w:rFonts w:cs="Tahoma"/>
          <w:b/>
          <w:sz w:val="20"/>
          <w:lang w:val="es-PE"/>
        </w:rPr>
      </w:pPr>
    </w:p>
    <w:p w:rsidR="008E6E36" w:rsidRPr="008E6E36" w:rsidRDefault="008E6E36" w:rsidP="008E6E36">
      <w:pPr>
        <w:jc w:val="both"/>
        <w:rPr>
          <w:rFonts w:ascii="Tahoma" w:hAnsi="Tahoma" w:cs="Tahoma"/>
        </w:rPr>
      </w:pPr>
      <w:r w:rsidRPr="008E6E36">
        <w:rPr>
          <w:rFonts w:ascii="Tahoma" w:hAnsi="Tahoma" w:cs="Tahoma"/>
          <w:b/>
        </w:rPr>
        <w:t>Visto</w:t>
      </w:r>
      <w:r w:rsidRPr="008E6E36">
        <w:rPr>
          <w:rFonts w:ascii="Tahoma" w:hAnsi="Tahoma" w:cs="Tahoma"/>
        </w:rPr>
        <w:t xml:space="preserve"> en sesión de fecha 26 de enero de 2011 de la Primera Sala del Tribunal de Contrataciones del Estado el Expediente N° </w:t>
      </w:r>
      <w:r>
        <w:rPr>
          <w:rFonts w:ascii="Tahoma" w:hAnsi="Tahoma" w:cs="Tahoma"/>
        </w:rPr>
        <w:t>3240</w:t>
      </w:r>
      <w:r w:rsidRPr="008E6E36">
        <w:rPr>
          <w:rFonts w:ascii="Tahoma" w:hAnsi="Tahoma" w:cs="Tahoma"/>
        </w:rPr>
        <w:t>.200</w:t>
      </w:r>
      <w:r>
        <w:rPr>
          <w:rFonts w:ascii="Tahoma" w:hAnsi="Tahoma" w:cs="Tahoma"/>
        </w:rPr>
        <w:t>8</w:t>
      </w:r>
      <w:r w:rsidRPr="008E6E36">
        <w:rPr>
          <w:rFonts w:ascii="Tahoma" w:hAnsi="Tahoma" w:cs="Tahoma"/>
        </w:rPr>
        <w:t xml:space="preserve">.TC, sobre el procedimiento de aplicación de sanción al </w:t>
      </w:r>
      <w:r w:rsidR="005B1932" w:rsidRPr="008E6E36">
        <w:rPr>
          <w:rFonts w:ascii="Tahoma" w:hAnsi="Tahoma" w:cs="Tahoma"/>
        </w:rPr>
        <w:t>Consorcio conformado por la empresa Logística Total S.A.C. y María Magdalena Zúñiga Saca</w:t>
      </w:r>
      <w:r w:rsidRPr="008E6E36">
        <w:rPr>
          <w:rFonts w:ascii="Tahoma" w:hAnsi="Tahoma" w:cs="Tahoma"/>
        </w:rPr>
        <w:t xml:space="preserve">, por supuesta responsabilidad en </w:t>
      </w:r>
      <w:r w:rsidR="009F73BA">
        <w:rPr>
          <w:rFonts w:ascii="Tahoma" w:hAnsi="Tahoma" w:cs="Tahoma"/>
        </w:rPr>
        <w:t xml:space="preserve">dar lugar a la resolución de contrato derivado de </w:t>
      </w:r>
      <w:r w:rsidR="009F73BA" w:rsidRPr="008E6E36">
        <w:rPr>
          <w:rFonts w:ascii="Tahoma" w:hAnsi="Tahoma" w:cs="Tahoma"/>
        </w:rPr>
        <w:t>la Adjudicación Directa  Pública Nº 006-2007-GRA/CE</w:t>
      </w:r>
      <w:r w:rsidR="00A25186">
        <w:rPr>
          <w:rFonts w:ascii="Tahoma" w:hAnsi="Tahoma" w:cs="Tahoma"/>
        </w:rPr>
        <w:t>,</w:t>
      </w:r>
      <w:r w:rsidR="009F73BA" w:rsidRPr="008E6E36">
        <w:rPr>
          <w:rFonts w:ascii="Tahoma" w:hAnsi="Tahoma" w:cs="Tahoma"/>
        </w:rPr>
        <w:t xml:space="preserve">  </w:t>
      </w:r>
      <w:r w:rsidR="009F73BA">
        <w:rPr>
          <w:rFonts w:ascii="Tahoma" w:hAnsi="Tahoma" w:cs="Tahoma"/>
        </w:rPr>
        <w:t xml:space="preserve">efectuada por </w:t>
      </w:r>
      <w:r w:rsidR="009F73BA" w:rsidRPr="008E6E36">
        <w:rPr>
          <w:rFonts w:ascii="Tahoma" w:hAnsi="Tahoma" w:cs="Tahoma"/>
        </w:rPr>
        <w:t>el Gobierno Regional de Amazonas</w:t>
      </w:r>
      <w:r w:rsidR="009F73BA">
        <w:rPr>
          <w:rFonts w:ascii="Tahoma" w:hAnsi="Tahoma" w:cs="Tahoma"/>
        </w:rPr>
        <w:t xml:space="preserve">, </w:t>
      </w:r>
      <w:r w:rsidR="009F73BA" w:rsidRPr="008E6E36">
        <w:rPr>
          <w:rFonts w:ascii="Tahoma" w:hAnsi="Tahoma" w:cs="Tahoma"/>
        </w:rPr>
        <w:t xml:space="preserve">para la adquisición de materiales de construcción </w:t>
      </w:r>
      <w:r w:rsidR="001A6CCB">
        <w:rPr>
          <w:rFonts w:ascii="Tahoma" w:hAnsi="Tahoma" w:cs="Tahoma"/>
        </w:rPr>
        <w:t xml:space="preserve">para la </w:t>
      </w:r>
      <w:r w:rsidR="009F73BA" w:rsidRPr="008E6E36">
        <w:rPr>
          <w:rFonts w:ascii="Tahoma" w:hAnsi="Tahoma" w:cs="Tahoma"/>
        </w:rPr>
        <w:t>obra: Construcción de la escuela nacional de Bellas Artes, Filial Chachapoya</w:t>
      </w:r>
      <w:r w:rsidR="001A6CCB">
        <w:rPr>
          <w:rFonts w:ascii="Tahoma" w:hAnsi="Tahoma" w:cs="Tahoma"/>
        </w:rPr>
        <w:t>s</w:t>
      </w:r>
      <w:r w:rsidRPr="008E6E36">
        <w:rPr>
          <w:rFonts w:ascii="Tahoma" w:hAnsi="Tahoma" w:cs="Tahoma"/>
          <w:bCs/>
        </w:rPr>
        <w:t xml:space="preserve">; </w:t>
      </w:r>
      <w:r w:rsidRPr="008E6E36">
        <w:rPr>
          <w:rFonts w:ascii="Tahoma" w:hAnsi="Tahoma" w:cs="Tahoma"/>
          <w:bCs/>
          <w:lang w:val="es-ES_tradnl"/>
        </w:rPr>
        <w:t>y,</w:t>
      </w:r>
      <w:r w:rsidRPr="008E6E36">
        <w:rPr>
          <w:rFonts w:ascii="Tahoma" w:hAnsi="Tahoma" w:cs="Tahoma"/>
          <w:color w:val="000000"/>
        </w:rPr>
        <w:t xml:space="preserve"> atendiendo a los siguientes:    </w:t>
      </w:r>
    </w:p>
    <w:p w:rsidR="008E6E36" w:rsidRPr="008E6E36" w:rsidRDefault="008E6E36" w:rsidP="008E6E36">
      <w:pPr>
        <w:pStyle w:val="Textoindependiente"/>
        <w:widowControl/>
        <w:tabs>
          <w:tab w:val="left" w:pos="540"/>
        </w:tabs>
        <w:suppressAutoHyphens w:val="0"/>
        <w:rPr>
          <w:rFonts w:cs="Tahoma"/>
          <w:sz w:val="20"/>
          <w:lang w:val="es-ES"/>
        </w:rPr>
      </w:pPr>
    </w:p>
    <w:p w:rsidR="008E6E36" w:rsidRPr="008E6E36" w:rsidRDefault="008E6E36" w:rsidP="008E6E36">
      <w:pPr>
        <w:jc w:val="both"/>
        <w:rPr>
          <w:rFonts w:ascii="Tahoma" w:hAnsi="Tahoma" w:cs="Tahoma"/>
          <w:b/>
          <w:shadow/>
        </w:rPr>
      </w:pPr>
      <w:r w:rsidRPr="008E6E36">
        <w:rPr>
          <w:rFonts w:ascii="Tahoma" w:hAnsi="Tahoma" w:cs="Tahoma"/>
          <w:b/>
          <w:shadow/>
        </w:rPr>
        <w:t>ANTECEDENTES:</w:t>
      </w:r>
    </w:p>
    <w:p w:rsidR="008E6E36" w:rsidRPr="008E6E36" w:rsidRDefault="008E6E36" w:rsidP="008E6E36">
      <w:pPr>
        <w:rPr>
          <w:rFonts w:ascii="Tahoma" w:hAnsi="Tahoma" w:cs="Tahoma"/>
          <w:b/>
          <w:bCs/>
        </w:rPr>
      </w:pPr>
    </w:p>
    <w:p w:rsidR="008E6E36" w:rsidRPr="008E6E36" w:rsidRDefault="008E6E36" w:rsidP="008E6E36">
      <w:pPr>
        <w:numPr>
          <w:ilvl w:val="0"/>
          <w:numId w:val="10"/>
        </w:numPr>
        <w:jc w:val="both"/>
        <w:rPr>
          <w:rFonts w:ascii="Tahoma" w:hAnsi="Tahoma" w:cs="Tahoma"/>
        </w:rPr>
      </w:pPr>
      <w:r w:rsidRPr="008E6E36">
        <w:rPr>
          <w:rFonts w:ascii="Tahoma" w:hAnsi="Tahoma" w:cs="Tahoma"/>
        </w:rPr>
        <w:t>El 20 de noviembre de 2007, el Gobierno Regional de Amazonas, en adelante la Entidad, convocó a la Adjudicación Directa  Pública Nº 006-2007-GRA/CE  para la adquisición de ma</w:t>
      </w:r>
      <w:r w:rsidR="009F73BA">
        <w:rPr>
          <w:rFonts w:ascii="Tahoma" w:hAnsi="Tahoma" w:cs="Tahoma"/>
        </w:rPr>
        <w:t xml:space="preserve">teriales de construcción obra: </w:t>
      </w:r>
      <w:r w:rsidRPr="008E6E36">
        <w:rPr>
          <w:rFonts w:ascii="Tahoma" w:hAnsi="Tahoma" w:cs="Tahoma"/>
        </w:rPr>
        <w:t>Construcción de la escuela nacional de Bellas Artes, Filial Chachapoyas, por un valor referencial ascendente a S/. 233,241.53 Nuevos Soles.</w:t>
      </w:r>
    </w:p>
    <w:p w:rsidR="008E6E36" w:rsidRPr="008E6E36" w:rsidRDefault="008E6E36" w:rsidP="008E6E36">
      <w:pPr>
        <w:ind w:left="720"/>
        <w:rPr>
          <w:rFonts w:ascii="Tahoma" w:hAnsi="Tahoma" w:cs="Tahoma"/>
        </w:rPr>
      </w:pPr>
    </w:p>
    <w:p w:rsidR="008E6E36" w:rsidRPr="008E6E36" w:rsidRDefault="008E6E36" w:rsidP="008E6E36">
      <w:pPr>
        <w:numPr>
          <w:ilvl w:val="0"/>
          <w:numId w:val="10"/>
        </w:numPr>
        <w:jc w:val="both"/>
        <w:rPr>
          <w:rFonts w:ascii="Tahoma" w:hAnsi="Tahoma" w:cs="Tahoma"/>
        </w:rPr>
      </w:pPr>
      <w:r w:rsidRPr="008E6E36">
        <w:rPr>
          <w:rFonts w:ascii="Tahoma" w:hAnsi="Tahoma" w:cs="Tahoma"/>
        </w:rPr>
        <w:t>El 06 de diciembre de 2007 se realizó el otorgamiento de la buena pro, respecto del ítem Nº 1 (materiales de ferretería) a favor del Consorcio conformado por la empresa Logística Total S.A.C. y María Magdalena Zúñiga Saca, en adelante el Contratista.</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El 10 de enero de 2008, la Entidad y el Contratista suscribieron el Contrato de Gerencia General Regional Nº 042-2008-GRA/GGR, mediante el cual se obligaba a suministrar los materiales de ferretería en el plazo de 05 días calendarios.</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Con informe Nº 063-2008/GRI-SGEO/JMSS-RE de fecha 05 de mayo de 2008, el Residente de Obra comunicó a la Sub Gerencia de Estudios y Obras que el contratista venia incumpliendo con la entrega de los materiales de construcción.</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Mediante Carta Notarial de fecha 08 de mayo de 2008, se requirió al contratista que en el plazo no mayor a 05 días cumpla con entregar los materiales de ferretería, bajo apercibimiento de resolver el contrato.</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 xml:space="preserve">Mediante Carta de fecha 21 de mayo de 2008, el Contratista indicó a la Entidad que los precios en el mercado se han incrementado significativamente, suponiendo ello una disminución en su margen de ganancias y más aun que los materiales de construcción </w:t>
      </w:r>
      <w:r w:rsidRPr="008E6E36">
        <w:rPr>
          <w:rFonts w:ascii="Tahoma" w:hAnsi="Tahoma" w:cs="Tahoma"/>
        </w:rPr>
        <w:lastRenderedPageBreak/>
        <w:t xml:space="preserve">están desabastecidos en el mercado. Asimismo, el fenómeno pluvial de la zona </w:t>
      </w:r>
      <w:proofErr w:type="spellStart"/>
      <w:r w:rsidRPr="008E6E36">
        <w:rPr>
          <w:rFonts w:ascii="Tahoma" w:hAnsi="Tahoma" w:cs="Tahoma"/>
        </w:rPr>
        <w:t>nor</w:t>
      </w:r>
      <w:proofErr w:type="spellEnd"/>
      <w:r w:rsidRPr="008E6E36">
        <w:rPr>
          <w:rFonts w:ascii="Tahoma" w:hAnsi="Tahoma" w:cs="Tahoma"/>
        </w:rPr>
        <w:t xml:space="preserve"> oriental ha motivado que se interrumpan los caminos de acceso al oriente, hecho fortuito que no estaba previsto y significó el retraso de los plazos establecidos.</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Con Carta Notarial Nº 133-2008-G.R.A./GGR de fecha 24 de mayo de 2008, debido al incumplimiento del Contratista, la Entidad comunicó al Contratista su decisión de resolver el contrato.</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 xml:space="preserve">Mediante Carta Notarial de fecha 28 de mayo de 2008, el Contratista devolvió a la Entidad la Carta Notarial Nº 133-2008-GRA/GGR indicando que la misma no corresponde, pues el representante del consorcio es el Sr. Oscar Arístides Pita Valiente y que la dirección correcta para la notificación era Calle Elías Aguirre Nº 178 – </w:t>
      </w:r>
      <w:proofErr w:type="spellStart"/>
      <w:r w:rsidRPr="008E6E36">
        <w:rPr>
          <w:rFonts w:ascii="Tahoma" w:hAnsi="Tahoma" w:cs="Tahoma"/>
        </w:rPr>
        <w:t>Reque</w:t>
      </w:r>
      <w:proofErr w:type="spellEnd"/>
      <w:r w:rsidRPr="008E6E36">
        <w:rPr>
          <w:rFonts w:ascii="Tahoma" w:hAnsi="Tahoma" w:cs="Tahoma"/>
        </w:rPr>
        <w:t>.</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Con Carta Nº 58-2008-GRA/GGR de fecha 08 de agosto, la Entidad comunicó nuevamente la resolución de contrato al domicilio indicado por el Contratista.</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Con escrito de fecha 21 de agosto de 2008, la Entidad comunicó ante este Colegiado los hechos expuestos, y señaló que no obra en el expediente solicitud alguna relacionada con ampliación de plazo por fenómenos climatológicos, toda vez que las lluvias alegadas ocurriendo en el marzo de 2008, y el contrato debió culminarse a mas tardar el 15 de enero del mismo año.</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De manera previa al inicio del procedimiento administrativo sancionador, se requirió a la Entidad que cumpla con señalar si la controversia ha sido sometida a proceso arbitral.</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Con escrito de fecha 29 de octubre de 2008, la Entidad cumplió con indicar que la controversia no había sido sometida a procedimiento arbitral.</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Por decreto del 03 de noviembre de 2008, el Tribunal, se dispuso el inicio del procedimiento administrativo sancionador al contratista por supuesta responsabilidad en haber dado lugar a la resolución de contrato. Se le otorgó el plazo de 10 días para que presente sus descargos.</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Con escrito de fecha 08 de enero de 2009, se apersonó al presente procedimiento el representante del Contratista.</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 xml:space="preserve">Con escrito de fecha 30 de enero de 2009, el Contratista señaló domicilio procesal en </w:t>
      </w:r>
      <w:proofErr w:type="spellStart"/>
      <w:r w:rsidRPr="008E6E36">
        <w:rPr>
          <w:rFonts w:ascii="Tahoma" w:hAnsi="Tahoma" w:cs="Tahoma"/>
        </w:rPr>
        <w:t>Jr.</w:t>
      </w:r>
      <w:proofErr w:type="spellEnd"/>
      <w:r w:rsidRPr="008E6E36">
        <w:rPr>
          <w:rFonts w:ascii="Tahoma" w:hAnsi="Tahoma" w:cs="Tahoma"/>
        </w:rPr>
        <w:t xml:space="preserve"> </w:t>
      </w:r>
      <w:proofErr w:type="spellStart"/>
      <w:r w:rsidRPr="008E6E36">
        <w:rPr>
          <w:rFonts w:ascii="Tahoma" w:hAnsi="Tahoma" w:cs="Tahoma"/>
        </w:rPr>
        <w:t>Pumacahua</w:t>
      </w:r>
      <w:proofErr w:type="spellEnd"/>
      <w:r w:rsidRPr="008E6E36">
        <w:rPr>
          <w:rFonts w:ascii="Tahoma" w:hAnsi="Tahoma" w:cs="Tahoma"/>
        </w:rPr>
        <w:t xml:space="preserve"> Nº 1616 </w:t>
      </w:r>
      <w:proofErr w:type="spellStart"/>
      <w:r w:rsidRPr="008E6E36">
        <w:rPr>
          <w:rFonts w:ascii="Tahoma" w:hAnsi="Tahoma" w:cs="Tahoma"/>
        </w:rPr>
        <w:t>Dpto</w:t>
      </w:r>
      <w:proofErr w:type="spellEnd"/>
      <w:r w:rsidRPr="008E6E36">
        <w:rPr>
          <w:rFonts w:ascii="Tahoma" w:hAnsi="Tahoma" w:cs="Tahoma"/>
        </w:rPr>
        <w:t xml:space="preserve"> 306, Jesús  María.</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 xml:space="preserve">Mediante escrito de fecha 07 de setiembre de 2009, la consorciada María </w:t>
      </w:r>
      <w:proofErr w:type="spellStart"/>
      <w:r w:rsidRPr="008E6E36">
        <w:rPr>
          <w:rFonts w:ascii="Tahoma" w:hAnsi="Tahoma" w:cs="Tahoma"/>
        </w:rPr>
        <w:t>Zuñiga</w:t>
      </w:r>
      <w:proofErr w:type="spellEnd"/>
      <w:r w:rsidRPr="008E6E36">
        <w:rPr>
          <w:rFonts w:ascii="Tahoma" w:hAnsi="Tahoma" w:cs="Tahoma"/>
        </w:rPr>
        <w:t xml:space="preserve"> Saca, indicó que requería para presentar sus descargos revisar el expediente administrativo completo, por lo que solicito a la Secretaría del Tribunal le remita una copia del mismo.</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Con decreto de fecha 15 de octubre de 2009, no habiendo cumplido las empresas consorciadas en presentar sus descargos, se dispuso remitir el expediente a la Primera Sala del Tribunal para que resuelva.</w:t>
      </w:r>
    </w:p>
    <w:p w:rsidR="008E6E36" w:rsidRPr="008E6E36" w:rsidRDefault="008E6E36" w:rsidP="008E6E36">
      <w:pPr>
        <w:pStyle w:val="Prrafodelista"/>
        <w:rPr>
          <w:sz w:val="20"/>
          <w:szCs w:val="20"/>
        </w:rPr>
      </w:pPr>
    </w:p>
    <w:p w:rsidR="008E6E36" w:rsidRPr="008E6E36" w:rsidRDefault="008E6E36" w:rsidP="008E6E36">
      <w:pPr>
        <w:numPr>
          <w:ilvl w:val="0"/>
          <w:numId w:val="10"/>
        </w:numPr>
        <w:jc w:val="both"/>
        <w:rPr>
          <w:rFonts w:ascii="Tahoma" w:hAnsi="Tahoma" w:cs="Tahoma"/>
        </w:rPr>
      </w:pPr>
      <w:r w:rsidRPr="008E6E36">
        <w:rPr>
          <w:rFonts w:ascii="Tahoma" w:hAnsi="Tahoma" w:cs="Tahoma"/>
        </w:rPr>
        <w:t>Con escritos de fechas 26 y 30 de octubre de 2009, la empresa consorciada LOGISTICA TOTAL S.A.C. presentó sus descargos en los siguientes términos:</w:t>
      </w:r>
    </w:p>
    <w:p w:rsidR="008E6E36" w:rsidRPr="008E6E36" w:rsidRDefault="008E6E36" w:rsidP="008E6E36">
      <w:pPr>
        <w:pStyle w:val="Prrafodelista"/>
        <w:rPr>
          <w:sz w:val="20"/>
          <w:szCs w:val="20"/>
        </w:rPr>
      </w:pPr>
    </w:p>
    <w:p w:rsidR="008E6E36" w:rsidRPr="008E6E36" w:rsidRDefault="008E6E36" w:rsidP="008E6E36">
      <w:pPr>
        <w:pStyle w:val="Prrafodelista"/>
        <w:widowControl/>
        <w:numPr>
          <w:ilvl w:val="0"/>
          <w:numId w:val="11"/>
        </w:numPr>
        <w:suppressAutoHyphens w:val="0"/>
        <w:jc w:val="both"/>
        <w:rPr>
          <w:sz w:val="20"/>
          <w:szCs w:val="20"/>
        </w:rPr>
      </w:pPr>
      <w:r w:rsidRPr="008E6E36">
        <w:rPr>
          <w:sz w:val="20"/>
          <w:szCs w:val="20"/>
        </w:rPr>
        <w:lastRenderedPageBreak/>
        <w:t>El retraso en la entrega de materiales se debió al encarecimiento de la adquisición y posterior envío de los materiales objeto del presente proceso de selección.</w:t>
      </w:r>
    </w:p>
    <w:p w:rsidR="008E6E36" w:rsidRPr="008E6E36" w:rsidRDefault="008E6E36" w:rsidP="008E6E36">
      <w:pPr>
        <w:pStyle w:val="Prrafodelista"/>
        <w:ind w:left="1440"/>
        <w:rPr>
          <w:sz w:val="20"/>
          <w:szCs w:val="20"/>
        </w:rPr>
      </w:pPr>
    </w:p>
    <w:p w:rsidR="008E6E36" w:rsidRPr="008E6E36" w:rsidRDefault="008E6E36" w:rsidP="008E6E36">
      <w:pPr>
        <w:pStyle w:val="Prrafodelista"/>
        <w:widowControl/>
        <w:numPr>
          <w:ilvl w:val="0"/>
          <w:numId w:val="11"/>
        </w:numPr>
        <w:suppressAutoHyphens w:val="0"/>
        <w:jc w:val="both"/>
        <w:rPr>
          <w:sz w:val="20"/>
          <w:szCs w:val="20"/>
        </w:rPr>
      </w:pPr>
      <w:r w:rsidRPr="008E6E36">
        <w:rPr>
          <w:sz w:val="20"/>
          <w:szCs w:val="20"/>
        </w:rPr>
        <w:t xml:space="preserve">Los precios en el mercado se han incrementado, suponiendo ello una disminución en su margen de ganancias y más aun que los materiales de construcción están desabastecidos en el mercado. Asimismo, el fenómeno pluvial de la zona </w:t>
      </w:r>
      <w:proofErr w:type="spellStart"/>
      <w:r w:rsidRPr="008E6E36">
        <w:rPr>
          <w:sz w:val="20"/>
          <w:szCs w:val="20"/>
        </w:rPr>
        <w:t>nor</w:t>
      </w:r>
      <w:proofErr w:type="spellEnd"/>
      <w:r w:rsidRPr="008E6E36">
        <w:rPr>
          <w:sz w:val="20"/>
          <w:szCs w:val="20"/>
        </w:rPr>
        <w:t xml:space="preserve"> oriental ha motivado que se interrumpan los caminos de acceso al oriente, hecho fortuito que no estaba previsto y significó el retraso de los plazos establecidos.</w:t>
      </w:r>
    </w:p>
    <w:p w:rsidR="008E6E36" w:rsidRPr="008E6E36" w:rsidRDefault="008E6E36" w:rsidP="008E6E36">
      <w:pPr>
        <w:pStyle w:val="Prrafodelista"/>
        <w:rPr>
          <w:sz w:val="20"/>
          <w:szCs w:val="20"/>
        </w:rPr>
      </w:pPr>
    </w:p>
    <w:p w:rsidR="008E6E36" w:rsidRPr="008E6E36" w:rsidRDefault="008E6E36" w:rsidP="008E6E36">
      <w:pPr>
        <w:pStyle w:val="Prrafodelista"/>
        <w:widowControl/>
        <w:numPr>
          <w:ilvl w:val="0"/>
          <w:numId w:val="11"/>
        </w:numPr>
        <w:suppressAutoHyphens w:val="0"/>
        <w:jc w:val="both"/>
        <w:rPr>
          <w:sz w:val="20"/>
          <w:szCs w:val="20"/>
        </w:rPr>
      </w:pPr>
      <w:r w:rsidRPr="008E6E36">
        <w:rPr>
          <w:sz w:val="20"/>
          <w:szCs w:val="20"/>
        </w:rPr>
        <w:t>Al momento de elaborar la propuesta se incorporaron los posibles sobre costos que implicaría el transporte de materiales y las variaciones de precios de acuerdo al normal y natural desenvolvimiento del mercado.</w:t>
      </w:r>
    </w:p>
    <w:p w:rsidR="008E6E36" w:rsidRPr="008E6E36" w:rsidRDefault="008E6E36" w:rsidP="008E6E36">
      <w:pPr>
        <w:pStyle w:val="Prrafodelista"/>
        <w:rPr>
          <w:sz w:val="20"/>
          <w:szCs w:val="20"/>
        </w:rPr>
      </w:pPr>
    </w:p>
    <w:p w:rsidR="008E6E36" w:rsidRPr="008E6E36" w:rsidRDefault="008E6E36" w:rsidP="008E6E36">
      <w:pPr>
        <w:pStyle w:val="Prrafodelista"/>
        <w:widowControl/>
        <w:numPr>
          <w:ilvl w:val="0"/>
          <w:numId w:val="11"/>
        </w:numPr>
        <w:suppressAutoHyphens w:val="0"/>
        <w:jc w:val="both"/>
        <w:rPr>
          <w:sz w:val="20"/>
          <w:szCs w:val="20"/>
        </w:rPr>
      </w:pPr>
      <w:r w:rsidRPr="008E6E36">
        <w:rPr>
          <w:sz w:val="20"/>
          <w:szCs w:val="20"/>
        </w:rPr>
        <w:t>Sin embargo, durante el año 2008 y 2009 el mercado mundial de materiales para la construcción reflejó una gran, inusual e inesperada alza de precios. Por ello, el IPC de los materiales de construcción se elevó de manera inesperada, ello puede verse reflejado en los cuadros analíticos realizados por el INEI.</w:t>
      </w:r>
    </w:p>
    <w:p w:rsidR="008E6E36" w:rsidRPr="008E6E36" w:rsidRDefault="008E6E36" w:rsidP="008E6E36">
      <w:pPr>
        <w:pStyle w:val="Prrafodelista"/>
        <w:rPr>
          <w:sz w:val="20"/>
          <w:szCs w:val="20"/>
        </w:rPr>
      </w:pPr>
    </w:p>
    <w:p w:rsidR="008E6E36" w:rsidRPr="008E6E36" w:rsidRDefault="008E6E36" w:rsidP="008E6E36">
      <w:pPr>
        <w:pStyle w:val="Prrafodelista"/>
        <w:widowControl/>
        <w:numPr>
          <w:ilvl w:val="0"/>
          <w:numId w:val="11"/>
        </w:numPr>
        <w:suppressAutoHyphens w:val="0"/>
        <w:jc w:val="both"/>
        <w:rPr>
          <w:sz w:val="20"/>
          <w:szCs w:val="20"/>
        </w:rPr>
      </w:pPr>
      <w:r w:rsidRPr="008E6E36">
        <w:rPr>
          <w:sz w:val="20"/>
          <w:szCs w:val="20"/>
        </w:rPr>
        <w:t>En razón de ello, se hizo imposible adquirir  materiales de construcción en base a la propuesta económica, y con ello poder cumplir el contrato evitando que verse perjudicado económicamente.</w:t>
      </w:r>
    </w:p>
    <w:p w:rsidR="008E6E36" w:rsidRPr="008E6E36" w:rsidRDefault="008E6E36" w:rsidP="008E6E36">
      <w:pPr>
        <w:pStyle w:val="Prrafodelista"/>
        <w:rPr>
          <w:sz w:val="20"/>
          <w:szCs w:val="20"/>
        </w:rPr>
      </w:pPr>
    </w:p>
    <w:p w:rsidR="008E6E36" w:rsidRPr="008E6E36" w:rsidRDefault="008E6E36" w:rsidP="008E6E36">
      <w:pPr>
        <w:pStyle w:val="Prrafodelista"/>
        <w:widowControl/>
        <w:numPr>
          <w:ilvl w:val="0"/>
          <w:numId w:val="11"/>
        </w:numPr>
        <w:suppressAutoHyphens w:val="0"/>
        <w:jc w:val="both"/>
        <w:rPr>
          <w:sz w:val="20"/>
          <w:szCs w:val="20"/>
        </w:rPr>
      </w:pPr>
      <w:r w:rsidRPr="008E6E36">
        <w:rPr>
          <w:sz w:val="20"/>
          <w:szCs w:val="20"/>
        </w:rPr>
        <w:t>Adicionalmente, el 2008 fue el año en el que se presentaron mayor cantidad de lluvias, por lo que se instauró un estado de emergencia en diversas regiones del país.</w:t>
      </w:r>
    </w:p>
    <w:p w:rsidR="008E6E36" w:rsidRPr="008E6E36" w:rsidRDefault="008E6E36" w:rsidP="008E6E36">
      <w:pPr>
        <w:pStyle w:val="Prrafodelista"/>
        <w:rPr>
          <w:sz w:val="20"/>
          <w:szCs w:val="20"/>
        </w:rPr>
      </w:pPr>
    </w:p>
    <w:p w:rsidR="008E6E36" w:rsidRPr="008E6E36" w:rsidRDefault="008E6E36" w:rsidP="008E6E36">
      <w:pPr>
        <w:pStyle w:val="Prrafodelista"/>
        <w:widowControl/>
        <w:numPr>
          <w:ilvl w:val="0"/>
          <w:numId w:val="11"/>
        </w:numPr>
        <w:suppressAutoHyphens w:val="0"/>
        <w:jc w:val="both"/>
        <w:rPr>
          <w:sz w:val="20"/>
          <w:szCs w:val="20"/>
        </w:rPr>
      </w:pPr>
      <w:r w:rsidRPr="008E6E36">
        <w:rPr>
          <w:sz w:val="20"/>
          <w:szCs w:val="20"/>
        </w:rPr>
        <w:t>Por otro lado, el contrato no había previsto una clausula de reajuste, elemento indispensable en la contratación de bienes ante eventuales variaciones de precios.</w:t>
      </w:r>
    </w:p>
    <w:p w:rsidR="008E6E36" w:rsidRPr="008E6E36" w:rsidRDefault="008E6E36" w:rsidP="008E6E36">
      <w:pPr>
        <w:pStyle w:val="Prrafodelista"/>
        <w:rPr>
          <w:sz w:val="20"/>
          <w:szCs w:val="20"/>
        </w:rPr>
      </w:pPr>
    </w:p>
    <w:p w:rsidR="008E6E36" w:rsidRPr="008E6E36" w:rsidRDefault="008E6E36" w:rsidP="008E6E36">
      <w:pPr>
        <w:pStyle w:val="Prrafodelista"/>
        <w:widowControl/>
        <w:numPr>
          <w:ilvl w:val="0"/>
          <w:numId w:val="11"/>
        </w:numPr>
        <w:suppressAutoHyphens w:val="0"/>
        <w:jc w:val="both"/>
        <w:rPr>
          <w:sz w:val="20"/>
          <w:szCs w:val="20"/>
        </w:rPr>
      </w:pPr>
      <w:r w:rsidRPr="008E6E36">
        <w:rPr>
          <w:sz w:val="20"/>
          <w:szCs w:val="20"/>
        </w:rPr>
        <w:t>Solicitó el uso de la palabra.</w:t>
      </w:r>
    </w:p>
    <w:p w:rsidR="008E6E36" w:rsidRPr="008E6E36" w:rsidRDefault="008E6E36" w:rsidP="008E6E36">
      <w:pPr>
        <w:ind w:left="720"/>
        <w:rPr>
          <w:rFonts w:ascii="Tahoma" w:hAnsi="Tahoma" w:cs="Tahoma"/>
        </w:rPr>
      </w:pPr>
    </w:p>
    <w:p w:rsidR="008E6E36" w:rsidRPr="008E6E36" w:rsidRDefault="008E6E36" w:rsidP="008E6E36">
      <w:pPr>
        <w:numPr>
          <w:ilvl w:val="0"/>
          <w:numId w:val="10"/>
        </w:numPr>
        <w:jc w:val="both"/>
        <w:rPr>
          <w:rFonts w:ascii="Tahoma" w:hAnsi="Tahoma" w:cs="Tahoma"/>
        </w:rPr>
      </w:pPr>
      <w:r w:rsidRPr="008E6E36">
        <w:rPr>
          <w:rFonts w:ascii="Tahoma" w:hAnsi="Tahoma" w:cs="Tahoma"/>
        </w:rPr>
        <w:t>Con escrito de fecha 03 de noviembre de 2009, la empresa consorciada LOGISTICA TOTAL S.A.C. reiteró sus argumentos presentados y adjuntó el índice de precios de materiales de construcción, así como el Informe de Emergencia Nº 401-20/05/2008 COEN-SINADECI/18:00 HORAS (INFORME Nº 92)</w:t>
      </w:r>
    </w:p>
    <w:p w:rsidR="008E6E36" w:rsidRPr="008E6E36" w:rsidRDefault="008E6E36" w:rsidP="008E6E36">
      <w:pPr>
        <w:ind w:left="540"/>
        <w:jc w:val="both"/>
        <w:rPr>
          <w:rFonts w:ascii="Tahoma" w:hAnsi="Tahoma" w:cs="Tahoma"/>
        </w:rPr>
      </w:pPr>
    </w:p>
    <w:p w:rsidR="008E6E36" w:rsidRPr="008E6E36" w:rsidRDefault="008E6E36" w:rsidP="008E6E36">
      <w:pPr>
        <w:jc w:val="both"/>
        <w:rPr>
          <w:rFonts w:ascii="Tahoma" w:hAnsi="Tahoma" w:cs="Tahoma"/>
          <w:b/>
          <w:shadow/>
        </w:rPr>
      </w:pPr>
      <w:r w:rsidRPr="008E6E36">
        <w:rPr>
          <w:rFonts w:ascii="Tahoma" w:hAnsi="Tahoma" w:cs="Tahoma"/>
          <w:b/>
          <w:shadow/>
        </w:rPr>
        <w:t>FUNDAMENTACIÓN:</w:t>
      </w:r>
    </w:p>
    <w:p w:rsidR="008E6E36" w:rsidRPr="008E6E36" w:rsidRDefault="008E6E36" w:rsidP="008E6E36">
      <w:pPr>
        <w:rPr>
          <w:rFonts w:ascii="Tahoma" w:hAnsi="Tahoma" w:cs="Tahoma"/>
          <w:b/>
          <w:bCs/>
        </w:rPr>
      </w:pPr>
    </w:p>
    <w:p w:rsidR="008E6E36" w:rsidRPr="008E6E36" w:rsidRDefault="008E6E36" w:rsidP="008E6E36">
      <w:pPr>
        <w:numPr>
          <w:ilvl w:val="0"/>
          <w:numId w:val="12"/>
        </w:numPr>
        <w:tabs>
          <w:tab w:val="clear" w:pos="720"/>
        </w:tabs>
        <w:ind w:left="567" w:hanging="567"/>
        <w:jc w:val="both"/>
        <w:rPr>
          <w:rFonts w:ascii="Tahoma" w:hAnsi="Tahoma" w:cs="Tahoma"/>
        </w:rPr>
      </w:pPr>
      <w:r w:rsidRPr="008E6E36">
        <w:rPr>
          <w:rFonts w:ascii="Tahoma" w:hAnsi="Tahoma" w:cs="Tahoma"/>
        </w:rPr>
        <w:t>Es materia del presente procedimiento administrativo la supuesta responsabilidad del Consorcio conformado por la empresa LOGISTICA TOTAL S.A.C. y la Sra. MARÍA MAGDALENA ZÚÑIGA SACA por la resolución del Contrato de Gerencia General Regional Nº 042-2008-GRA/GGR, derivada de la Adjudicación Directa  Pública Nº 006-2007-GRA/CE  , cuya infracción está tipificada en el numeral 2) del artículo 294 del Reglamento de la Ley de Contrataciones y Adquisiciones del Estado</w:t>
      </w:r>
      <w:r w:rsidRPr="008E6E36">
        <w:rPr>
          <w:rStyle w:val="Refdenotaalpie"/>
          <w:rFonts w:ascii="Tahoma" w:hAnsi="Tahoma" w:cs="Tahoma"/>
        </w:rPr>
        <w:footnoteReference w:id="2"/>
      </w:r>
      <w:r w:rsidRPr="008E6E36">
        <w:rPr>
          <w:rFonts w:ascii="Tahoma" w:hAnsi="Tahoma" w:cs="Tahoma"/>
        </w:rPr>
        <w:t>, aprobado por Decreto Supremo № 084-</w:t>
      </w:r>
      <w:r w:rsidRPr="008E6E36">
        <w:rPr>
          <w:rFonts w:ascii="Tahoma" w:hAnsi="Tahoma" w:cs="Tahoma"/>
        </w:rPr>
        <w:lastRenderedPageBreak/>
        <w:t>2004-PCM, en adelante el Reglamento, norma vigente al momento de suscitarse los hechos imputados.</w:t>
      </w:r>
    </w:p>
    <w:p w:rsidR="008E6E36" w:rsidRPr="008E6E36" w:rsidRDefault="008E6E36" w:rsidP="008E6E36">
      <w:pPr>
        <w:ind w:left="567"/>
        <w:rPr>
          <w:rFonts w:ascii="Tahoma" w:hAnsi="Tahoma" w:cs="Tahoma"/>
        </w:rPr>
      </w:pPr>
    </w:p>
    <w:p w:rsidR="008E6E36" w:rsidRPr="008E6E36" w:rsidRDefault="008E6E36" w:rsidP="008E6E36">
      <w:pPr>
        <w:numPr>
          <w:ilvl w:val="0"/>
          <w:numId w:val="12"/>
        </w:numPr>
        <w:tabs>
          <w:tab w:val="clear" w:pos="720"/>
        </w:tabs>
        <w:ind w:left="567" w:hanging="567"/>
        <w:jc w:val="both"/>
        <w:rPr>
          <w:rFonts w:ascii="Tahoma" w:hAnsi="Tahoma" w:cs="Tahoma"/>
        </w:rPr>
      </w:pPr>
      <w:r w:rsidRPr="008E6E36">
        <w:rPr>
          <w:rFonts w:ascii="Tahoma" w:hAnsi="Tahoma" w:cs="Tahoma"/>
        </w:rPr>
        <w:t>Al respecto, la  infracción contemplada en el numeral 2 del artículo 294 del Reglamento establece como supuesto de hecho indispensable para su configuración, la resolución del contrato, orden de compra o de servicios, según corresponda, por causal atribuible a la Contratista.</w:t>
      </w:r>
    </w:p>
    <w:p w:rsidR="008E6E36" w:rsidRPr="008E6E36" w:rsidRDefault="008E6E36" w:rsidP="008E6E36">
      <w:pPr>
        <w:tabs>
          <w:tab w:val="num" w:pos="567"/>
        </w:tabs>
        <w:ind w:left="567" w:hanging="567"/>
        <w:rPr>
          <w:rFonts w:ascii="Tahoma" w:hAnsi="Tahoma" w:cs="Tahoma"/>
        </w:rPr>
      </w:pPr>
    </w:p>
    <w:p w:rsidR="008E6E36" w:rsidRPr="008E6E36" w:rsidRDefault="008E6E36" w:rsidP="008E6E36">
      <w:pPr>
        <w:numPr>
          <w:ilvl w:val="0"/>
          <w:numId w:val="12"/>
        </w:numPr>
        <w:tabs>
          <w:tab w:val="clear" w:pos="720"/>
        </w:tabs>
        <w:ind w:left="567" w:hanging="567"/>
        <w:jc w:val="both"/>
        <w:rPr>
          <w:rFonts w:ascii="Tahoma" w:hAnsi="Tahoma" w:cs="Tahoma"/>
        </w:rPr>
      </w:pPr>
      <w:r w:rsidRPr="008E6E36">
        <w:rPr>
          <w:rFonts w:ascii="Tahoma" w:hAnsi="Tahoma" w:cs="Tahoma"/>
        </w:rPr>
        <w:t>En tal sentido, el artículo 225 del Reglamento dispone que la Entidad podrá resolver el contrato, de conformidad con el inciso c) del artículo 41 del Texto Único Ordenado de la Ley de Contrataciones y Adquisiciones del Estado, aprobado mediante Decreto Supremo № 083-2004-PCM, en adelante la Ley, cuando la Contratista incumpla injustificadamente las obligaciones contractuales, legales o reglamentarias a su cargo, pese a haber sido requerido para ello.</w:t>
      </w:r>
    </w:p>
    <w:p w:rsidR="008E6E36" w:rsidRPr="008E6E36" w:rsidRDefault="008E6E36" w:rsidP="008E6E36">
      <w:pPr>
        <w:pStyle w:val="Sangradetextonormal"/>
        <w:tabs>
          <w:tab w:val="left" w:pos="900"/>
          <w:tab w:val="num" w:pos="1080"/>
        </w:tabs>
        <w:spacing w:after="0"/>
        <w:rPr>
          <w:sz w:val="20"/>
          <w:szCs w:val="20"/>
        </w:rPr>
      </w:pPr>
    </w:p>
    <w:p w:rsidR="008E6E36" w:rsidRPr="008E6E36" w:rsidRDefault="008E6E36" w:rsidP="008E6E36">
      <w:pPr>
        <w:numPr>
          <w:ilvl w:val="0"/>
          <w:numId w:val="12"/>
        </w:numPr>
        <w:tabs>
          <w:tab w:val="clear" w:pos="720"/>
        </w:tabs>
        <w:ind w:left="567" w:hanging="567"/>
        <w:jc w:val="both"/>
        <w:rPr>
          <w:rFonts w:ascii="Tahoma" w:hAnsi="Tahoma" w:cs="Tahoma"/>
        </w:rPr>
      </w:pPr>
      <w:r w:rsidRPr="008E6E36">
        <w:rPr>
          <w:rFonts w:ascii="Tahoma" w:hAnsi="Tahoma" w:cs="Tahoma"/>
        </w:rPr>
        <w:t xml:space="preserve">El procedimiento de resolución contractual, cuya observancia es condición necesaria para evaluar la existencia de eventuales responsabilidades de carácter administrativo, se encuentra previsto en el artículo 226 del Reglamento, según el cual en caso de incumplimiento contractual de una de las partes involucradas, la parte que resulte perjudicada con tal hecho requerirá a la otra notarialmente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De continuar el incumplimiento contractual, la citada disposición reglamentaria precisa que la parte perjudicada comunicará notarialmente la resolución total o parcial del contrato. </w:t>
      </w:r>
    </w:p>
    <w:p w:rsidR="008E6E36" w:rsidRPr="008E6E36" w:rsidRDefault="008E6E36" w:rsidP="008E6E36">
      <w:pPr>
        <w:pStyle w:val="Prrafodelista"/>
        <w:rPr>
          <w:sz w:val="20"/>
          <w:szCs w:val="20"/>
        </w:rPr>
      </w:pPr>
    </w:p>
    <w:p w:rsidR="008E6E36" w:rsidRPr="008E6E36" w:rsidRDefault="008E6E36" w:rsidP="008E6E36">
      <w:pPr>
        <w:numPr>
          <w:ilvl w:val="0"/>
          <w:numId w:val="12"/>
        </w:numPr>
        <w:tabs>
          <w:tab w:val="clear" w:pos="720"/>
        </w:tabs>
        <w:ind w:left="567" w:hanging="567"/>
        <w:jc w:val="both"/>
        <w:rPr>
          <w:rFonts w:ascii="Tahoma" w:hAnsi="Tahoma" w:cs="Tahoma"/>
        </w:rPr>
      </w:pPr>
      <w:r w:rsidRPr="008E6E36">
        <w:rPr>
          <w:rFonts w:ascii="Tahoma" w:hAnsi="Tahoma" w:cs="Tahoma"/>
        </w:rPr>
        <w:t>Este criterio, además, ha sido recogido en el Acuerdo de Sala Plena № 018/010 del 4 de septiembre de 2002</w:t>
      </w:r>
      <w:r w:rsidRPr="008E6E36">
        <w:rPr>
          <w:rStyle w:val="Refdenotaalpie"/>
          <w:rFonts w:ascii="Tahoma" w:hAnsi="Tahoma" w:cs="Tahoma"/>
        </w:rPr>
        <w:footnoteReference w:id="3"/>
      </w:r>
      <w:r w:rsidRPr="008E6E36">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 la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8E6E36" w:rsidRPr="008E6E36" w:rsidRDefault="008E6E36" w:rsidP="008E6E36">
      <w:pPr>
        <w:ind w:left="567"/>
        <w:rPr>
          <w:rFonts w:ascii="Tahoma" w:hAnsi="Tahoma" w:cs="Tahoma"/>
        </w:rPr>
      </w:pPr>
    </w:p>
    <w:p w:rsidR="008E6E36" w:rsidRPr="008E6E36" w:rsidRDefault="008E6E36" w:rsidP="008E6E36">
      <w:pPr>
        <w:numPr>
          <w:ilvl w:val="0"/>
          <w:numId w:val="12"/>
        </w:numPr>
        <w:tabs>
          <w:tab w:val="clear" w:pos="720"/>
        </w:tabs>
        <w:ind w:left="567" w:hanging="567"/>
        <w:jc w:val="both"/>
        <w:rPr>
          <w:rFonts w:ascii="Tahoma" w:hAnsi="Tahoma" w:cs="Tahoma"/>
        </w:rPr>
      </w:pPr>
      <w:r w:rsidRPr="008E6E36">
        <w:rPr>
          <w:rFonts w:ascii="Tahoma" w:hAnsi="Tahoma" w:cs="Tahoma"/>
        </w:rPr>
        <w:t xml:space="preserve">Sobre el particular, el numeral 4 del artículo 230 de la Ley del Procedimiento Administrativo General consagra el </w:t>
      </w:r>
      <w:r w:rsidRPr="008E6E36">
        <w:rPr>
          <w:rFonts w:ascii="Tahoma" w:hAnsi="Tahoma" w:cs="Tahoma"/>
          <w:i/>
          <w:iCs/>
        </w:rPr>
        <w:t>Principio de Tipicidad</w:t>
      </w:r>
      <w:r w:rsidRPr="008E6E36">
        <w:rPr>
          <w:rFonts w:ascii="Tahoma" w:hAnsi="Tahoma" w:cs="Tahoma"/>
        </w:rPr>
        <w:t xml:space="preserve">, conforme al cual las conductas expresamente descritas como sancionables no pueden admitir interpretación extensiva o analógica; mientras que el numeral 2 del mismo artículo hace referencia al </w:t>
      </w:r>
      <w:r w:rsidRPr="008E6E36">
        <w:rPr>
          <w:rFonts w:ascii="Tahoma" w:hAnsi="Tahoma" w:cs="Tahoma"/>
          <w:i/>
          <w:iCs/>
        </w:rPr>
        <w:t>Principio del Debido Procedimiento</w:t>
      </w:r>
      <w:r w:rsidRPr="008E6E36">
        <w:rPr>
          <w:rFonts w:ascii="Tahoma" w:hAnsi="Tahoma" w:cs="Tahoma"/>
        </w:rPr>
        <w:t>, por cuya virtud las Entidades aplicarán sanciones sujetando su actuación al procedimiento establecido, respetando las garantías inherentes al debido procedimiento.</w:t>
      </w:r>
    </w:p>
    <w:p w:rsidR="008E6E36" w:rsidRPr="008E6E36" w:rsidRDefault="008E6E36" w:rsidP="008E6E36">
      <w:pPr>
        <w:pStyle w:val="Prrafodelista"/>
        <w:rPr>
          <w:sz w:val="20"/>
          <w:szCs w:val="20"/>
        </w:rPr>
      </w:pPr>
    </w:p>
    <w:p w:rsidR="008E6E36" w:rsidRPr="008E6E36" w:rsidRDefault="008E6E36" w:rsidP="008E6E36">
      <w:pPr>
        <w:numPr>
          <w:ilvl w:val="0"/>
          <w:numId w:val="12"/>
        </w:numPr>
        <w:tabs>
          <w:tab w:val="clear" w:pos="720"/>
        </w:tabs>
        <w:ind w:left="567" w:hanging="567"/>
        <w:jc w:val="both"/>
        <w:rPr>
          <w:rFonts w:ascii="Tahoma" w:hAnsi="Tahoma" w:cs="Tahoma"/>
        </w:rPr>
      </w:pPr>
      <w:r w:rsidRPr="008E6E36">
        <w:rPr>
          <w:rFonts w:ascii="Tahoma" w:hAnsi="Tahoma" w:cs="Tahoma"/>
        </w:rPr>
        <w:t>Ahora bien, del examen de la documentación obrante en autos, a fin de acreditar que se observó dicho procedimiento, la Entidad ha remitido sendas misivas, cursadas por conducto notarial, en las que se aprecia lo siguiente:</w:t>
      </w:r>
    </w:p>
    <w:p w:rsidR="008E6E36" w:rsidRPr="008E6E36" w:rsidRDefault="008E6E36" w:rsidP="008E6E36">
      <w:pPr>
        <w:pStyle w:val="Prrafodelista"/>
        <w:rPr>
          <w:sz w:val="20"/>
          <w:szCs w:val="20"/>
        </w:rPr>
      </w:pPr>
    </w:p>
    <w:p w:rsidR="008E6E36" w:rsidRPr="008E6E36" w:rsidRDefault="008E6E36" w:rsidP="008E6E36">
      <w:pPr>
        <w:numPr>
          <w:ilvl w:val="0"/>
          <w:numId w:val="13"/>
        </w:numPr>
        <w:jc w:val="both"/>
        <w:rPr>
          <w:rFonts w:ascii="Tahoma" w:hAnsi="Tahoma" w:cs="Tahoma"/>
        </w:rPr>
      </w:pPr>
      <w:r w:rsidRPr="008E6E36">
        <w:rPr>
          <w:rFonts w:ascii="Tahoma" w:hAnsi="Tahoma" w:cs="Tahoma"/>
        </w:rPr>
        <w:t>Carta Notarial  de fecha</w:t>
      </w:r>
      <w:r w:rsidRPr="008E6E36">
        <w:rPr>
          <w:rFonts w:ascii="Tahoma" w:hAnsi="Tahoma" w:cs="Tahoma"/>
          <w:b/>
          <w:bCs/>
        </w:rPr>
        <w:t xml:space="preserve"> </w:t>
      </w:r>
      <w:r w:rsidRPr="008E6E36">
        <w:rPr>
          <w:rFonts w:ascii="Tahoma" w:hAnsi="Tahoma" w:cs="Tahoma"/>
        </w:rPr>
        <w:t>de fecha 08 de mayo de 2008</w:t>
      </w:r>
      <w:r w:rsidRPr="008E6E36">
        <w:rPr>
          <w:rStyle w:val="Refdenotaalpie"/>
          <w:rFonts w:ascii="Tahoma" w:hAnsi="Tahoma" w:cs="Tahoma"/>
          <w:b/>
          <w:bCs/>
        </w:rPr>
        <w:footnoteReference w:id="4"/>
      </w:r>
      <w:r w:rsidRPr="008E6E36">
        <w:rPr>
          <w:rFonts w:ascii="Tahoma" w:hAnsi="Tahoma" w:cs="Tahoma"/>
        </w:rPr>
        <w:t xml:space="preserve">, notificada por conducto notarial el 13 del mismo mes y año, mediante la cual, la Entidad requirió al contratista el cumplimiento de sus obligaciones concediéndosele el plazo de  cinco días, bajo apercibimiento de resolver el contrato. Dicho documento fue remitido al Sr. Oscar Pita Valiente en el siguiente domicilio: calle Elías Aguirre Nº 178 – </w:t>
      </w:r>
      <w:proofErr w:type="spellStart"/>
      <w:r w:rsidRPr="008E6E36">
        <w:rPr>
          <w:rFonts w:ascii="Tahoma" w:hAnsi="Tahoma" w:cs="Tahoma"/>
        </w:rPr>
        <w:t>Reque</w:t>
      </w:r>
      <w:proofErr w:type="spellEnd"/>
      <w:r w:rsidRPr="008E6E36">
        <w:rPr>
          <w:rFonts w:ascii="Tahoma" w:hAnsi="Tahoma" w:cs="Tahoma"/>
        </w:rPr>
        <w:t>.</w:t>
      </w:r>
    </w:p>
    <w:p w:rsidR="008E6E36" w:rsidRPr="008E6E36" w:rsidRDefault="008E6E36" w:rsidP="008E6E36">
      <w:pPr>
        <w:ind w:left="720"/>
        <w:rPr>
          <w:rFonts w:ascii="Tahoma" w:hAnsi="Tahoma" w:cs="Tahoma"/>
        </w:rPr>
      </w:pPr>
    </w:p>
    <w:p w:rsidR="008E6E36" w:rsidRPr="008E6E36" w:rsidRDefault="008E6E36" w:rsidP="008E6E36">
      <w:pPr>
        <w:numPr>
          <w:ilvl w:val="0"/>
          <w:numId w:val="13"/>
        </w:numPr>
        <w:jc w:val="both"/>
        <w:rPr>
          <w:rFonts w:ascii="Tahoma" w:hAnsi="Tahoma" w:cs="Tahoma"/>
        </w:rPr>
      </w:pPr>
      <w:bookmarkStart w:id="0" w:name="OLE_LINK10"/>
      <w:bookmarkStart w:id="1" w:name="OLE_LINK9"/>
      <w:r w:rsidRPr="008E6E36">
        <w:rPr>
          <w:rFonts w:ascii="Tahoma" w:hAnsi="Tahoma" w:cs="Tahoma"/>
        </w:rPr>
        <w:t xml:space="preserve">Carta Notarial Nº </w:t>
      </w:r>
      <w:bookmarkEnd w:id="0"/>
      <w:bookmarkEnd w:id="1"/>
      <w:r w:rsidRPr="008E6E36">
        <w:rPr>
          <w:rFonts w:ascii="Tahoma" w:hAnsi="Tahoma" w:cs="Tahoma"/>
        </w:rPr>
        <w:t>133-2008-GRA/GGR de fecha 23 de mayo de</w:t>
      </w:r>
      <w:r w:rsidRPr="008E6E36">
        <w:rPr>
          <w:rFonts w:ascii="Tahoma" w:hAnsi="Tahoma" w:cs="Tahoma"/>
          <w:b/>
          <w:bCs/>
        </w:rPr>
        <w:t xml:space="preserve"> </w:t>
      </w:r>
      <w:r w:rsidRPr="008E6E36">
        <w:rPr>
          <w:rFonts w:ascii="Tahoma" w:hAnsi="Tahoma" w:cs="Tahoma"/>
        </w:rPr>
        <w:t>2008</w:t>
      </w:r>
      <w:r w:rsidRPr="008E6E36">
        <w:rPr>
          <w:rStyle w:val="Refdenotaalpie"/>
          <w:rFonts w:ascii="Tahoma" w:hAnsi="Tahoma" w:cs="Tahoma"/>
          <w:b/>
          <w:bCs/>
        </w:rPr>
        <w:footnoteReference w:id="5"/>
      </w:r>
      <w:r w:rsidRPr="008E6E36">
        <w:rPr>
          <w:rFonts w:ascii="Tahoma" w:hAnsi="Tahoma" w:cs="Tahoma"/>
        </w:rPr>
        <w:t>, notificada el 24 de mayo de 2008, mediante la cual la Entidad comunicó al Contratista la resolución total  del vínculo contractual. Dicho documento fue remitido a nombre del Sr. Jorge Arístides Pita Valiente, en la dirección calle José de la Torre Ugarte Nº 467 – Urb.- Chiclayo.</w:t>
      </w:r>
    </w:p>
    <w:p w:rsidR="008E6E36" w:rsidRPr="008E6E36" w:rsidRDefault="008E6E36" w:rsidP="008E6E36">
      <w:pPr>
        <w:ind w:left="720"/>
        <w:rPr>
          <w:rFonts w:ascii="Tahoma" w:hAnsi="Tahoma" w:cs="Tahoma"/>
        </w:rPr>
      </w:pPr>
    </w:p>
    <w:p w:rsidR="008E6E36" w:rsidRPr="008E6E36" w:rsidRDefault="008E6E36" w:rsidP="008E6E36">
      <w:pPr>
        <w:numPr>
          <w:ilvl w:val="0"/>
          <w:numId w:val="13"/>
        </w:numPr>
        <w:jc w:val="both"/>
        <w:rPr>
          <w:rFonts w:ascii="Tahoma" w:hAnsi="Tahoma" w:cs="Tahoma"/>
        </w:rPr>
      </w:pPr>
      <w:r w:rsidRPr="008E6E36">
        <w:rPr>
          <w:rFonts w:ascii="Tahoma" w:hAnsi="Tahoma" w:cs="Tahoma"/>
        </w:rPr>
        <w:t>Carta Notarial Nº 58-2008-GRA/GGR de fecha 20 de junio de</w:t>
      </w:r>
      <w:r w:rsidRPr="008E6E36">
        <w:rPr>
          <w:rFonts w:ascii="Tahoma" w:hAnsi="Tahoma" w:cs="Tahoma"/>
          <w:b/>
          <w:bCs/>
        </w:rPr>
        <w:t xml:space="preserve"> </w:t>
      </w:r>
      <w:r w:rsidRPr="008E6E36">
        <w:rPr>
          <w:rFonts w:ascii="Tahoma" w:hAnsi="Tahoma" w:cs="Tahoma"/>
        </w:rPr>
        <w:t>2008</w:t>
      </w:r>
      <w:r w:rsidRPr="008E6E36">
        <w:rPr>
          <w:rStyle w:val="Refdenotaalpie"/>
          <w:rFonts w:ascii="Tahoma" w:hAnsi="Tahoma" w:cs="Tahoma"/>
          <w:b/>
          <w:bCs/>
        </w:rPr>
        <w:footnoteReference w:id="6"/>
      </w:r>
      <w:r w:rsidRPr="008E6E36">
        <w:rPr>
          <w:rFonts w:ascii="Tahoma" w:hAnsi="Tahoma" w:cs="Tahoma"/>
        </w:rPr>
        <w:t xml:space="preserve">,  mediante la cual la Entidad comunicó al Contratista la resolución total  del vínculo contractual. Dicho documento fue remitido al Sr. Oscar Pita Valiente en el siguiente domicilio: calle Elías Aguirre Nº 178 – </w:t>
      </w:r>
      <w:proofErr w:type="spellStart"/>
      <w:r w:rsidRPr="008E6E36">
        <w:rPr>
          <w:rFonts w:ascii="Tahoma" w:hAnsi="Tahoma" w:cs="Tahoma"/>
        </w:rPr>
        <w:t>Reque</w:t>
      </w:r>
      <w:proofErr w:type="spellEnd"/>
      <w:r w:rsidRPr="008E6E36">
        <w:rPr>
          <w:rFonts w:ascii="Tahoma" w:hAnsi="Tahoma" w:cs="Tahoma"/>
        </w:rPr>
        <w:t>, sin embargo, en el cargo de recepción notarial se indicó que se  devolvió el cargo y el original por no haberse encontrado en el domicilio a quien reciba la referida comunicación.</w:t>
      </w:r>
    </w:p>
    <w:p w:rsidR="008E6E36" w:rsidRPr="008E6E36" w:rsidRDefault="008E6E36" w:rsidP="008E6E36">
      <w:pPr>
        <w:ind w:left="1440"/>
        <w:rPr>
          <w:rFonts w:ascii="Tahoma" w:hAnsi="Tahoma" w:cs="Tahoma"/>
        </w:rPr>
      </w:pPr>
    </w:p>
    <w:p w:rsidR="008E6E36" w:rsidRPr="008E6E36" w:rsidRDefault="008E6E36" w:rsidP="008E6E36">
      <w:pPr>
        <w:numPr>
          <w:ilvl w:val="0"/>
          <w:numId w:val="12"/>
        </w:numPr>
        <w:tabs>
          <w:tab w:val="clear" w:pos="720"/>
        </w:tabs>
        <w:ind w:left="567" w:hanging="567"/>
        <w:jc w:val="both"/>
        <w:rPr>
          <w:rFonts w:ascii="Tahoma" w:hAnsi="Tahoma" w:cs="Tahoma"/>
          <w:b/>
          <w:bCs/>
        </w:rPr>
      </w:pPr>
      <w:r w:rsidRPr="008E6E36">
        <w:rPr>
          <w:rFonts w:ascii="Tahoma" w:hAnsi="Tahoma" w:cs="Tahoma"/>
          <w:lang w:val="es-ES_tradnl"/>
        </w:rPr>
        <w:t>En razón a lo expuesto, se observa que la comunicación mediante la cual se requirió las obligaciones al contratista, fue remitida al representante común del consorcio y al domicilio señalado por este en su contrato de consorcio, obrante en la propuesta técnica, cumpliéndose de esta manera con una notificación valida y eficaz.</w:t>
      </w:r>
    </w:p>
    <w:p w:rsidR="008E6E36" w:rsidRPr="008E6E36" w:rsidRDefault="008E6E36" w:rsidP="008E6E36">
      <w:pPr>
        <w:ind w:left="567"/>
        <w:rPr>
          <w:rFonts w:ascii="Tahoma" w:hAnsi="Tahoma" w:cs="Tahoma"/>
          <w:b/>
          <w:bCs/>
        </w:rPr>
      </w:pPr>
    </w:p>
    <w:p w:rsidR="008E6E36" w:rsidRPr="008E6E36" w:rsidRDefault="008E6E36" w:rsidP="008E6E36">
      <w:pPr>
        <w:numPr>
          <w:ilvl w:val="0"/>
          <w:numId w:val="12"/>
        </w:numPr>
        <w:tabs>
          <w:tab w:val="clear" w:pos="720"/>
        </w:tabs>
        <w:ind w:left="567" w:hanging="567"/>
        <w:jc w:val="both"/>
        <w:rPr>
          <w:rFonts w:ascii="Tahoma" w:hAnsi="Tahoma" w:cs="Tahoma"/>
          <w:b/>
          <w:bCs/>
        </w:rPr>
      </w:pPr>
      <w:r w:rsidRPr="008E6E36">
        <w:rPr>
          <w:rFonts w:ascii="Tahoma" w:hAnsi="Tahoma" w:cs="Tahoma"/>
        </w:rPr>
        <w:t xml:space="preserve">Sin embargo, se puede verificar que la carta notaria Nº 133-2008-GRA/GGR del 28 de mayo de 2008, a través de la cual se comunicó la resolución del vínculo contractual, no fue diligenciada al representante común del consorcio, ni al domicilio señalado en el contrato de consorcio. Esto se corrobora con la Carta Notarial de fecha 26 de mayo de 2008, notificada el 28 del mismo mes y año,  mediante la cual el Sr. Jorge Chávez Pita devolvió la cedula de notificación, </w:t>
      </w:r>
      <w:r w:rsidRPr="008E6E36">
        <w:rPr>
          <w:rFonts w:ascii="Tahoma" w:hAnsi="Tahoma" w:cs="Tahoma"/>
          <w:b/>
          <w:bCs/>
        </w:rPr>
        <w:t>precisando que no había sido remitida a la dirección señalada en la promesa formal de consorcio, y por ende, se considera no notificado al Contratista mediante dicho acto.</w:t>
      </w:r>
    </w:p>
    <w:p w:rsidR="008E6E36" w:rsidRPr="008E6E36" w:rsidRDefault="008E6E36" w:rsidP="008E6E36">
      <w:pPr>
        <w:pStyle w:val="Prrafodelista"/>
        <w:rPr>
          <w:sz w:val="20"/>
          <w:szCs w:val="20"/>
        </w:rPr>
      </w:pPr>
    </w:p>
    <w:p w:rsidR="008E6E36" w:rsidRPr="008E6E36" w:rsidRDefault="008E6E36" w:rsidP="008E6E36">
      <w:pPr>
        <w:numPr>
          <w:ilvl w:val="0"/>
          <w:numId w:val="12"/>
        </w:numPr>
        <w:tabs>
          <w:tab w:val="clear" w:pos="720"/>
        </w:tabs>
        <w:ind w:left="567" w:hanging="567"/>
        <w:jc w:val="both"/>
        <w:rPr>
          <w:rFonts w:ascii="Tahoma" w:hAnsi="Tahoma" w:cs="Tahoma"/>
          <w:b/>
          <w:bCs/>
        </w:rPr>
      </w:pPr>
      <w:r w:rsidRPr="008E6E36">
        <w:rPr>
          <w:rFonts w:ascii="Tahoma" w:hAnsi="Tahoma" w:cs="Tahoma"/>
        </w:rPr>
        <w:t xml:space="preserve">A efectos de subsanar la notificación defectuosa, la Entidad procedió a comunicar nuevamente la resolución del vínculo contractual al representante del consorcio y, al domicilio señalado para tales fines, a través de la Carta Notarial Nº 058-2008-GRA/GGR del 20 de junio de 2008, sin embargo, de la revisión a la certificación notarial adversa, se advierte que la misma fue devuelta por la oficina de correos, consignando que han visitado el domicilio, con fechas 26.06.2008; 03.07.2008 y 04.07.2008, declarando ausente, </w:t>
      </w:r>
      <w:r w:rsidRPr="008E6E36">
        <w:rPr>
          <w:rFonts w:ascii="Tahoma" w:hAnsi="Tahoma" w:cs="Tahoma"/>
          <w:b/>
          <w:bCs/>
        </w:rPr>
        <w:t>por lo que se devuelve el original y cargo al remitente.</w:t>
      </w:r>
    </w:p>
    <w:p w:rsidR="008E6E36" w:rsidRPr="008E6E36" w:rsidRDefault="008E6E36" w:rsidP="008E6E36">
      <w:pPr>
        <w:rPr>
          <w:rFonts w:ascii="Tahoma" w:hAnsi="Tahoma" w:cs="Tahoma"/>
        </w:rPr>
      </w:pPr>
    </w:p>
    <w:p w:rsidR="008E6E36" w:rsidRPr="008E6E36" w:rsidRDefault="008E6E36" w:rsidP="008E6E36">
      <w:pPr>
        <w:numPr>
          <w:ilvl w:val="0"/>
          <w:numId w:val="12"/>
        </w:numPr>
        <w:tabs>
          <w:tab w:val="clear" w:pos="720"/>
        </w:tabs>
        <w:ind w:left="567" w:hanging="567"/>
        <w:jc w:val="both"/>
        <w:rPr>
          <w:rFonts w:ascii="Tahoma" w:hAnsi="Tahoma" w:cs="Tahoma"/>
        </w:rPr>
      </w:pPr>
      <w:r w:rsidRPr="008E6E36">
        <w:rPr>
          <w:rFonts w:ascii="Tahoma" w:hAnsi="Tahoma" w:cs="Tahoma"/>
          <w:lang w:val="es-ES_tradnl"/>
        </w:rPr>
        <w:t xml:space="preserve">En ese contexto, </w:t>
      </w:r>
      <w:r w:rsidRPr="008E6E36">
        <w:rPr>
          <w:rFonts w:ascii="Tahoma" w:hAnsi="Tahoma" w:cs="Tahoma"/>
        </w:rPr>
        <w:t xml:space="preserve">siendo que no obra en autos los documentos que acrediten que, en efecto, se haya notificado notarialmente la resolución de contrato al Contratista y que el </w:t>
      </w:r>
      <w:r w:rsidRPr="008E6E36">
        <w:rPr>
          <w:rFonts w:ascii="Tahoma" w:hAnsi="Tahoma" w:cs="Tahoma"/>
        </w:rPr>
        <w:lastRenderedPageBreak/>
        <w:t xml:space="preserve">mismo haya tomado conocimiento de dicho acto; esta Sala concluye que no se ha configurado el tipo sancionador imputado en su contra. Consecuentemente, en estricta observancia del antes aludido </w:t>
      </w:r>
      <w:r w:rsidRPr="008E6E36">
        <w:rPr>
          <w:rFonts w:ascii="Tahoma" w:hAnsi="Tahoma" w:cs="Tahoma"/>
          <w:i/>
          <w:iCs/>
        </w:rPr>
        <w:t>Principio de Tipicidad</w:t>
      </w:r>
      <w:r w:rsidRPr="008E6E36">
        <w:rPr>
          <w:rFonts w:ascii="Tahoma" w:hAnsi="Tahoma" w:cs="Tahoma"/>
        </w:rPr>
        <w:t>, se concluye que no corresponde imponer sanción a la denunciada respecto de la infracción imputada; por lo que resulta irrelevante emitir pronunciamiento respecto a lo alegado por la mencionada empresa a fin de justificar el presunto incumplimiento de sus obligaciones, en tanto dicho análisis no revertirá en modo alguno la decisión adoptada; sin perjuicio de las acciones que la Entidad estime por conveniente adoptar en salvaguarda de sus intereses.</w:t>
      </w:r>
      <w:r w:rsidRPr="008E6E36">
        <w:rPr>
          <w:rFonts w:ascii="Tahoma" w:hAnsi="Tahoma" w:cs="Tahoma"/>
          <w:b/>
          <w:bCs/>
        </w:rPr>
        <w:t xml:space="preserve"> </w:t>
      </w:r>
    </w:p>
    <w:p w:rsidR="008E6E36" w:rsidRPr="008E6E36" w:rsidRDefault="008E6E36" w:rsidP="008E6E36">
      <w:pPr>
        <w:rPr>
          <w:rFonts w:ascii="Tahoma" w:hAnsi="Tahoma" w:cs="Tahoma"/>
        </w:rPr>
      </w:pPr>
    </w:p>
    <w:p w:rsidR="008E6E36" w:rsidRPr="008E6E36" w:rsidRDefault="008E6E36" w:rsidP="008E6E36">
      <w:pPr>
        <w:numPr>
          <w:ilvl w:val="0"/>
          <w:numId w:val="12"/>
        </w:numPr>
        <w:tabs>
          <w:tab w:val="clear" w:pos="720"/>
        </w:tabs>
        <w:ind w:left="567" w:hanging="567"/>
        <w:jc w:val="both"/>
        <w:rPr>
          <w:rFonts w:ascii="Tahoma" w:hAnsi="Tahoma" w:cs="Tahoma"/>
        </w:rPr>
      </w:pPr>
      <w:r w:rsidRPr="008E6E36">
        <w:rPr>
          <w:rFonts w:ascii="Tahoma" w:hAnsi="Tahoma" w:cs="Tahoma"/>
        </w:rPr>
        <w:t>Finalmente, dado que la Entidad no habría dado cumplimiento a las disposiciones glosadas precedentemente o que, en todo caso, no habría remitido la información necesaria, se dispone poner los hechos en conocimiento de su Órgano de Control Institucional, a fin que determine las responsabilidades a las que hubiera lugar, de estimarlo pertinente</w:t>
      </w:r>
    </w:p>
    <w:p w:rsidR="008E6E36" w:rsidRPr="008E6E36" w:rsidRDefault="008E6E36" w:rsidP="008E6E36">
      <w:pPr>
        <w:ind w:left="720"/>
        <w:rPr>
          <w:rFonts w:ascii="Tahoma" w:hAnsi="Tahoma" w:cs="Tahoma"/>
        </w:rPr>
      </w:pPr>
    </w:p>
    <w:p w:rsidR="008E6E36" w:rsidRPr="008E6E36" w:rsidRDefault="008E6E36" w:rsidP="008E6E36">
      <w:pPr>
        <w:tabs>
          <w:tab w:val="left" w:pos="3544"/>
          <w:tab w:val="left" w:pos="7230"/>
          <w:tab w:val="left" w:pos="8505"/>
        </w:tabs>
        <w:autoSpaceDE w:val="0"/>
        <w:autoSpaceDN w:val="0"/>
        <w:adjustRightInd w:val="0"/>
        <w:ind w:firstLine="567"/>
        <w:jc w:val="both"/>
        <w:rPr>
          <w:rFonts w:ascii="Tahoma" w:eastAsia="Calibri" w:hAnsi="Tahoma" w:cs="Tahoma"/>
          <w:color w:val="000000"/>
        </w:rPr>
      </w:pPr>
      <w:r w:rsidRPr="008E6E36">
        <w:rPr>
          <w:rFonts w:ascii="Tahoma" w:eastAsia="Calibri" w:hAnsi="Tahoma" w:cs="Tahoma"/>
          <w:color w:val="000000"/>
        </w:rPr>
        <w:t xml:space="preserve">Por estos fundamentos, de conformidad con el informe del Vocal Ponente Dra. </w:t>
      </w:r>
      <w:proofErr w:type="spellStart"/>
      <w:r w:rsidRPr="008E6E36">
        <w:rPr>
          <w:rFonts w:ascii="Tahoma" w:eastAsia="Calibri" w:hAnsi="Tahoma" w:cs="Tahoma"/>
          <w:color w:val="000000"/>
        </w:rPr>
        <w:t>Janette</w:t>
      </w:r>
      <w:proofErr w:type="spellEnd"/>
      <w:r w:rsidRPr="008E6E36">
        <w:rPr>
          <w:rFonts w:ascii="Tahoma" w:eastAsia="Calibri" w:hAnsi="Tahoma" w:cs="Tahoma"/>
          <w:color w:val="000000"/>
        </w:rPr>
        <w:t xml:space="preserve"> </w:t>
      </w:r>
      <w:proofErr w:type="spellStart"/>
      <w:r w:rsidRPr="008E6E36">
        <w:rPr>
          <w:rFonts w:ascii="Tahoma" w:eastAsia="Calibri" w:hAnsi="Tahoma" w:cs="Tahoma"/>
          <w:color w:val="000000"/>
        </w:rPr>
        <w:t>Elke</w:t>
      </w:r>
      <w:proofErr w:type="spellEnd"/>
      <w:r w:rsidRPr="008E6E36">
        <w:rPr>
          <w:rFonts w:ascii="Tahoma" w:eastAsia="Calibri" w:hAnsi="Tahoma" w:cs="Tahoma"/>
          <w:color w:val="000000"/>
        </w:rPr>
        <w:t xml:space="preserve"> Ramírez </w:t>
      </w:r>
      <w:proofErr w:type="spellStart"/>
      <w:r w:rsidRPr="008E6E36">
        <w:rPr>
          <w:rFonts w:ascii="Tahoma" w:eastAsia="Calibri" w:hAnsi="Tahoma" w:cs="Tahoma"/>
          <w:color w:val="000000"/>
        </w:rPr>
        <w:t>Maynetto</w:t>
      </w:r>
      <w:proofErr w:type="spellEnd"/>
      <w:r w:rsidRPr="008E6E36">
        <w:rPr>
          <w:rFonts w:ascii="Tahoma" w:eastAsia="Calibri" w:hAnsi="Tahoma" w:cs="Tahoma"/>
          <w:color w:val="000000"/>
        </w:rPr>
        <w:t xml:space="preserve"> y la intervención de los Vocales Dra. Ada </w:t>
      </w:r>
      <w:proofErr w:type="spellStart"/>
      <w:r w:rsidRPr="008E6E36">
        <w:rPr>
          <w:rFonts w:ascii="Tahoma" w:eastAsia="Calibri" w:hAnsi="Tahoma" w:cs="Tahoma"/>
          <w:color w:val="000000"/>
        </w:rPr>
        <w:t>Basulto</w:t>
      </w:r>
      <w:proofErr w:type="spellEnd"/>
      <w:r w:rsidRPr="008E6E36">
        <w:rPr>
          <w:rFonts w:ascii="Tahoma" w:eastAsia="Calibri" w:hAnsi="Tahoma" w:cs="Tahoma"/>
          <w:color w:val="000000"/>
        </w:rPr>
        <w:t xml:space="preserve"> </w:t>
      </w:r>
      <w:proofErr w:type="spellStart"/>
      <w:r w:rsidRPr="008E6E36">
        <w:rPr>
          <w:rFonts w:ascii="Tahoma" w:eastAsia="Calibri" w:hAnsi="Tahoma" w:cs="Tahoma"/>
          <w:color w:val="000000"/>
        </w:rPr>
        <w:t>Liewald</w:t>
      </w:r>
      <w:proofErr w:type="spellEnd"/>
      <w:r w:rsidRPr="008E6E36">
        <w:rPr>
          <w:rFonts w:ascii="Tahoma" w:eastAsia="Calibri" w:hAnsi="Tahoma" w:cs="Tahoma"/>
          <w:color w:val="000000"/>
        </w:rPr>
        <w:t xml:space="preserve"> y Dr. Carlos Fonseca </w:t>
      </w:r>
      <w:proofErr w:type="spellStart"/>
      <w:r w:rsidRPr="008E6E36">
        <w:rPr>
          <w:rFonts w:ascii="Tahoma" w:eastAsia="Calibri" w:hAnsi="Tahoma" w:cs="Tahoma"/>
          <w:color w:val="000000"/>
        </w:rPr>
        <w:t>Oliveira</w:t>
      </w:r>
      <w:proofErr w:type="spellEnd"/>
      <w:r w:rsidRPr="008E6E36">
        <w:rPr>
          <w:rFonts w:ascii="Tahoma" w:eastAsia="Calibri" w:hAnsi="Tahoma" w:cs="Tahoma"/>
          <w:color w:val="000000"/>
        </w:rPr>
        <w:t xml:space="preserve">, y atendiendo a la </w:t>
      </w:r>
      <w:proofErr w:type="spellStart"/>
      <w:r w:rsidRPr="008E6E36">
        <w:rPr>
          <w:rFonts w:ascii="Tahoma" w:eastAsia="Calibri" w:hAnsi="Tahoma" w:cs="Tahoma"/>
          <w:color w:val="000000"/>
        </w:rPr>
        <w:t>reconformación</w:t>
      </w:r>
      <w:proofErr w:type="spellEnd"/>
      <w:r w:rsidRPr="008E6E36">
        <w:rPr>
          <w:rFonts w:ascii="Tahoma" w:eastAsia="Calibri" w:hAnsi="Tahoma" w:cs="Tahoma"/>
          <w:color w:val="000000"/>
        </w:rPr>
        <w:t xml:space="preserve"> de la Primera Sala del Tribunal de Contrataciones y Adquisiciones del Estado, según lo dispuesto en la Resolución № 190-2010-OSCE/PRE, expedida el 29 de marzo de 2010,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8E6E36" w:rsidRPr="008E6E36" w:rsidRDefault="008E6E36" w:rsidP="008E6E36">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8E6E36" w:rsidRPr="008E6E36" w:rsidRDefault="008E6E36" w:rsidP="008E6E36">
      <w:pPr>
        <w:jc w:val="both"/>
        <w:rPr>
          <w:rFonts w:ascii="Tahoma" w:hAnsi="Tahoma" w:cs="Tahoma"/>
          <w:b/>
          <w:shadow/>
        </w:rPr>
      </w:pPr>
      <w:r w:rsidRPr="008E6E36">
        <w:rPr>
          <w:rFonts w:ascii="Tahoma" w:hAnsi="Tahoma" w:cs="Tahoma"/>
          <w:b/>
          <w:shadow/>
        </w:rPr>
        <w:t>LA SALA RESUELVE:</w:t>
      </w:r>
    </w:p>
    <w:p w:rsidR="008E6E36" w:rsidRPr="008E6E36" w:rsidRDefault="008E6E36" w:rsidP="008E6E36">
      <w:pPr>
        <w:pStyle w:val="Textonotapie"/>
        <w:tabs>
          <w:tab w:val="left" w:pos="2410"/>
        </w:tabs>
        <w:rPr>
          <w:rFonts w:ascii="Tahoma" w:hAnsi="Tahoma" w:cs="Tahoma"/>
          <w:b/>
          <w:bCs/>
        </w:rPr>
      </w:pPr>
    </w:p>
    <w:p w:rsidR="008E6E36" w:rsidRPr="008E6E36" w:rsidRDefault="008E6E36" w:rsidP="008E6E36">
      <w:pPr>
        <w:numPr>
          <w:ilvl w:val="0"/>
          <w:numId w:val="14"/>
        </w:numPr>
        <w:tabs>
          <w:tab w:val="clear" w:pos="720"/>
          <w:tab w:val="num" w:pos="567"/>
        </w:tabs>
        <w:ind w:left="567" w:hanging="567"/>
        <w:jc w:val="both"/>
        <w:rPr>
          <w:rFonts w:ascii="Tahoma" w:hAnsi="Tahoma" w:cs="Tahoma"/>
        </w:rPr>
      </w:pPr>
      <w:r w:rsidRPr="008E6E36">
        <w:rPr>
          <w:rFonts w:ascii="Tahoma" w:hAnsi="Tahoma" w:cs="Tahoma"/>
        </w:rPr>
        <w:t>No ha lugar la imposición de sanción administrativa a la empresa Logística Total S.A.C., por supuesta responsabilidad en dar lugar a la resolución del contrato, por causal atribuible a su parte; debiendo archivarse el presente expediente administrativo.</w:t>
      </w:r>
    </w:p>
    <w:p w:rsidR="008E6E36" w:rsidRPr="008E6E36" w:rsidRDefault="008E6E36" w:rsidP="008E6E36">
      <w:pPr>
        <w:ind w:left="567"/>
        <w:rPr>
          <w:rFonts w:ascii="Tahoma" w:hAnsi="Tahoma" w:cs="Tahoma"/>
        </w:rPr>
      </w:pPr>
    </w:p>
    <w:p w:rsidR="008E6E36" w:rsidRPr="008E6E36" w:rsidRDefault="008E6E36" w:rsidP="008E6E36">
      <w:pPr>
        <w:numPr>
          <w:ilvl w:val="0"/>
          <w:numId w:val="14"/>
        </w:numPr>
        <w:tabs>
          <w:tab w:val="clear" w:pos="720"/>
          <w:tab w:val="num" w:pos="567"/>
        </w:tabs>
        <w:ind w:left="567" w:hanging="567"/>
        <w:jc w:val="both"/>
        <w:rPr>
          <w:rFonts w:ascii="Tahoma" w:hAnsi="Tahoma" w:cs="Tahoma"/>
        </w:rPr>
      </w:pPr>
      <w:r w:rsidRPr="008E6E36">
        <w:rPr>
          <w:rFonts w:ascii="Tahoma" w:hAnsi="Tahoma" w:cs="Tahoma"/>
        </w:rPr>
        <w:t>No ha lugar la imposición de sanción administrativa a la persona natural María Magdalena Zúñiga Saca, por supuesta responsabilidad en dar lugar a la resolución del contrato, por causal atribuible a su parte; debiendo archivarse el presente expediente administrativo.</w:t>
      </w:r>
    </w:p>
    <w:p w:rsidR="008E6E36" w:rsidRPr="008E6E36" w:rsidRDefault="008E6E36" w:rsidP="008E6E36">
      <w:pPr>
        <w:ind w:left="567"/>
        <w:rPr>
          <w:rFonts w:ascii="Tahoma" w:hAnsi="Tahoma" w:cs="Tahoma"/>
        </w:rPr>
      </w:pPr>
    </w:p>
    <w:p w:rsidR="008E6E36" w:rsidRPr="008E6E36" w:rsidRDefault="008E6E36" w:rsidP="008E6E36">
      <w:pPr>
        <w:numPr>
          <w:ilvl w:val="0"/>
          <w:numId w:val="14"/>
        </w:numPr>
        <w:tabs>
          <w:tab w:val="clear" w:pos="720"/>
          <w:tab w:val="num" w:pos="567"/>
        </w:tabs>
        <w:ind w:left="567" w:hanging="567"/>
        <w:jc w:val="both"/>
        <w:rPr>
          <w:rFonts w:ascii="Tahoma" w:hAnsi="Tahoma" w:cs="Tahoma"/>
        </w:rPr>
      </w:pPr>
      <w:r w:rsidRPr="008E6E36">
        <w:rPr>
          <w:rFonts w:ascii="Tahoma" w:hAnsi="Tahoma" w:cs="Tahoma"/>
        </w:rPr>
        <w:t>Poner los hechos en conocimiento de su Órgano de Control Institucional, a fin que determine las responsabilidades a las que hubiera lugar, de estimarlo pertinente.</w:t>
      </w:r>
    </w:p>
    <w:p w:rsidR="008E6E36" w:rsidRPr="008E6E36" w:rsidRDefault="008E6E36" w:rsidP="008E6E36">
      <w:pPr>
        <w:pStyle w:val="Prrafodelista"/>
        <w:rPr>
          <w:b/>
          <w:bCs/>
          <w:sz w:val="20"/>
          <w:szCs w:val="20"/>
        </w:rPr>
      </w:pPr>
    </w:p>
    <w:p w:rsidR="008E6E36" w:rsidRPr="008E6E36" w:rsidRDefault="008E6E36" w:rsidP="008E6E36">
      <w:pPr>
        <w:pStyle w:val="Textoindependiente21"/>
        <w:rPr>
          <w:rFonts w:cs="Tahoma"/>
          <w:sz w:val="20"/>
        </w:rPr>
      </w:pPr>
      <w:r w:rsidRPr="008E6E36">
        <w:rPr>
          <w:rFonts w:cs="Tahoma"/>
          <w:sz w:val="20"/>
        </w:rPr>
        <w:t>Regístrese, comuníquese y publíquese.</w:t>
      </w:r>
    </w:p>
    <w:p w:rsidR="008E6E36" w:rsidRPr="008E6E36" w:rsidRDefault="008E6E36" w:rsidP="008E6E36">
      <w:pPr>
        <w:jc w:val="center"/>
        <w:rPr>
          <w:rFonts w:ascii="Tahoma" w:hAnsi="Tahoma" w:cs="Tahoma"/>
          <w:b/>
          <w:shadow/>
          <w:lang w:val="pt-BR"/>
        </w:rPr>
      </w:pPr>
    </w:p>
    <w:p w:rsidR="008E6E36" w:rsidRPr="008E6E36" w:rsidRDefault="008E6E36" w:rsidP="008E6E36">
      <w:pPr>
        <w:jc w:val="center"/>
        <w:rPr>
          <w:rFonts w:ascii="Tahoma" w:hAnsi="Tahoma" w:cs="Tahoma"/>
          <w:b/>
          <w:shadow/>
          <w:lang w:val="pt-BR"/>
        </w:rPr>
      </w:pPr>
    </w:p>
    <w:p w:rsidR="008E6E36" w:rsidRPr="008E6E36" w:rsidRDefault="008E6E36" w:rsidP="008E6E36">
      <w:pPr>
        <w:jc w:val="center"/>
        <w:rPr>
          <w:rFonts w:ascii="Tahoma" w:hAnsi="Tahoma" w:cs="Tahoma"/>
          <w:b/>
          <w:shadow/>
          <w:lang w:val="pt-BR"/>
        </w:rPr>
      </w:pPr>
    </w:p>
    <w:p w:rsidR="008E6E36" w:rsidRPr="008E6E36" w:rsidRDefault="008E6E36" w:rsidP="008E6E36">
      <w:pPr>
        <w:jc w:val="center"/>
        <w:rPr>
          <w:rFonts w:ascii="Tahoma" w:hAnsi="Tahoma" w:cs="Tahoma"/>
          <w:b/>
          <w:shadow/>
          <w:lang w:val="pt-BR"/>
        </w:rPr>
      </w:pPr>
    </w:p>
    <w:p w:rsidR="008E6E36" w:rsidRPr="008E6E36" w:rsidRDefault="008E6E36" w:rsidP="008E6E36">
      <w:pPr>
        <w:jc w:val="center"/>
        <w:rPr>
          <w:rFonts w:ascii="Tahoma" w:hAnsi="Tahoma" w:cs="Tahoma"/>
          <w:b/>
          <w:shadow/>
          <w:lang w:val="pt-BR"/>
        </w:rPr>
      </w:pPr>
      <w:r w:rsidRPr="008E6E36">
        <w:rPr>
          <w:rFonts w:ascii="Tahoma" w:hAnsi="Tahoma" w:cs="Tahoma"/>
          <w:b/>
          <w:shadow/>
          <w:lang w:val="pt-BR"/>
        </w:rPr>
        <w:t>PRESIDENTA</w:t>
      </w:r>
    </w:p>
    <w:p w:rsidR="008E6E36" w:rsidRPr="008E6E36" w:rsidRDefault="008E6E36" w:rsidP="008E6E36">
      <w:pPr>
        <w:jc w:val="both"/>
        <w:rPr>
          <w:rFonts w:ascii="Tahoma" w:hAnsi="Tahoma" w:cs="Tahoma"/>
          <w:b/>
          <w:shadow/>
          <w:lang w:val="pt-BR"/>
        </w:rPr>
      </w:pPr>
    </w:p>
    <w:p w:rsidR="008E6E36" w:rsidRPr="008E6E36" w:rsidRDefault="008E6E36" w:rsidP="008E6E36">
      <w:pPr>
        <w:jc w:val="both"/>
        <w:rPr>
          <w:rFonts w:ascii="Tahoma" w:hAnsi="Tahoma" w:cs="Tahoma"/>
          <w:b/>
          <w:shadow/>
          <w:lang w:val="pt-BR"/>
        </w:rPr>
      </w:pPr>
    </w:p>
    <w:p w:rsidR="008E6E36" w:rsidRPr="008E6E36" w:rsidRDefault="008E6E36" w:rsidP="008E6E36">
      <w:pPr>
        <w:jc w:val="both"/>
        <w:rPr>
          <w:rFonts w:ascii="Tahoma" w:hAnsi="Tahoma" w:cs="Tahoma"/>
          <w:b/>
          <w:shadow/>
          <w:lang w:val="pt-BR"/>
        </w:rPr>
      </w:pPr>
    </w:p>
    <w:p w:rsidR="008E6E36" w:rsidRPr="008E6E36" w:rsidRDefault="008E6E36" w:rsidP="008E6E36">
      <w:pPr>
        <w:jc w:val="both"/>
        <w:rPr>
          <w:rFonts w:ascii="Tahoma" w:hAnsi="Tahoma" w:cs="Tahoma"/>
          <w:b/>
          <w:shadow/>
          <w:lang w:val="pt-BR"/>
        </w:rPr>
      </w:pPr>
    </w:p>
    <w:p w:rsidR="008E6E36" w:rsidRPr="008E6E36" w:rsidRDefault="008E6E36" w:rsidP="008E6E36">
      <w:pPr>
        <w:jc w:val="both"/>
        <w:rPr>
          <w:rFonts w:ascii="Tahoma" w:hAnsi="Tahoma" w:cs="Tahoma"/>
          <w:b/>
          <w:shadow/>
          <w:lang w:val="pt-BR"/>
        </w:rPr>
      </w:pPr>
      <w:r w:rsidRPr="008E6E36">
        <w:rPr>
          <w:rFonts w:ascii="Tahoma" w:hAnsi="Tahoma" w:cs="Tahoma"/>
          <w:b/>
          <w:shadow/>
          <w:lang w:val="pt-BR"/>
        </w:rPr>
        <w:t xml:space="preserve">                      VOCAL           </w:t>
      </w:r>
      <w:r w:rsidRPr="008E6E36">
        <w:rPr>
          <w:rFonts w:ascii="Tahoma" w:hAnsi="Tahoma" w:cs="Tahoma"/>
          <w:b/>
          <w:shadow/>
          <w:lang w:val="pt-BR"/>
        </w:rPr>
        <w:tab/>
      </w:r>
      <w:r w:rsidRPr="008E6E36">
        <w:rPr>
          <w:rFonts w:ascii="Tahoma" w:hAnsi="Tahoma" w:cs="Tahoma"/>
          <w:b/>
          <w:shadow/>
          <w:lang w:val="pt-BR"/>
        </w:rPr>
        <w:tab/>
        <w:t xml:space="preserve">                                                              VOCAL</w:t>
      </w:r>
    </w:p>
    <w:p w:rsidR="008E6E36" w:rsidRPr="008E6E36" w:rsidRDefault="008E6E36" w:rsidP="008E6E36">
      <w:pPr>
        <w:ind w:firstLine="708"/>
        <w:jc w:val="both"/>
        <w:rPr>
          <w:rFonts w:ascii="Tahoma" w:hAnsi="Tahoma" w:cs="Tahoma"/>
          <w:b/>
          <w:shadow/>
          <w:lang w:val="pt-BR"/>
        </w:rPr>
      </w:pPr>
    </w:p>
    <w:p w:rsidR="008E6E36" w:rsidRPr="008E6E36" w:rsidRDefault="008E6E36" w:rsidP="008E6E36">
      <w:pPr>
        <w:ind w:firstLine="708"/>
        <w:jc w:val="both"/>
        <w:rPr>
          <w:rFonts w:ascii="Tahoma" w:hAnsi="Tahoma" w:cs="Tahoma"/>
          <w:b/>
          <w:shadow/>
          <w:lang w:val="pt-BR"/>
        </w:rPr>
      </w:pPr>
    </w:p>
    <w:p w:rsidR="008E6E36" w:rsidRPr="008E6E36" w:rsidRDefault="008E6E36" w:rsidP="008E6E36">
      <w:pPr>
        <w:jc w:val="both"/>
        <w:rPr>
          <w:rFonts w:ascii="Tahoma" w:hAnsi="Tahoma" w:cs="Tahoma"/>
          <w:lang w:val="pt-BR"/>
        </w:rPr>
      </w:pPr>
      <w:proofErr w:type="gramStart"/>
      <w:r w:rsidRPr="008E6E36">
        <w:rPr>
          <w:rFonts w:ascii="Tahoma" w:hAnsi="Tahoma" w:cs="Tahoma"/>
          <w:lang w:val="pt-BR"/>
        </w:rPr>
        <w:t>ss.</w:t>
      </w:r>
      <w:proofErr w:type="gramEnd"/>
    </w:p>
    <w:p w:rsidR="008E6E36" w:rsidRPr="008E6E36" w:rsidRDefault="008E6E36" w:rsidP="008E6E36">
      <w:pPr>
        <w:pStyle w:val="Textoindependiente21"/>
        <w:rPr>
          <w:rFonts w:cs="Tahoma"/>
          <w:sz w:val="20"/>
          <w:lang w:val="en-US"/>
        </w:rPr>
      </w:pPr>
      <w:proofErr w:type="spellStart"/>
      <w:r w:rsidRPr="008E6E36">
        <w:rPr>
          <w:rFonts w:cs="Tahoma"/>
          <w:sz w:val="20"/>
          <w:lang w:val="en-US"/>
        </w:rPr>
        <w:t>Basulto</w:t>
      </w:r>
      <w:proofErr w:type="spellEnd"/>
      <w:r w:rsidRPr="008E6E36">
        <w:rPr>
          <w:rFonts w:cs="Tahoma"/>
          <w:sz w:val="20"/>
          <w:lang w:val="en-US"/>
        </w:rPr>
        <w:t xml:space="preserve"> </w:t>
      </w:r>
      <w:proofErr w:type="spellStart"/>
      <w:r w:rsidRPr="008E6E36">
        <w:rPr>
          <w:rFonts w:cs="Tahoma"/>
          <w:sz w:val="20"/>
          <w:lang w:val="en-US"/>
        </w:rPr>
        <w:t>Liewald</w:t>
      </w:r>
      <w:proofErr w:type="spellEnd"/>
      <w:r w:rsidRPr="008E6E36">
        <w:rPr>
          <w:rFonts w:cs="Tahoma"/>
          <w:sz w:val="20"/>
          <w:lang w:val="en-US"/>
        </w:rPr>
        <w:t>.</w:t>
      </w:r>
    </w:p>
    <w:p w:rsidR="008E6E36" w:rsidRPr="008E6E36" w:rsidRDefault="008E6E36" w:rsidP="008E6E36">
      <w:pPr>
        <w:pStyle w:val="Textoindependiente21"/>
        <w:rPr>
          <w:rFonts w:cs="Tahoma"/>
          <w:sz w:val="20"/>
          <w:lang w:val="en-US"/>
        </w:rPr>
      </w:pPr>
      <w:proofErr w:type="spellStart"/>
      <w:r w:rsidRPr="008E6E36">
        <w:rPr>
          <w:rFonts w:cs="Tahoma"/>
          <w:sz w:val="20"/>
          <w:lang w:val="en-US"/>
        </w:rPr>
        <w:lastRenderedPageBreak/>
        <w:t>Ramírez</w:t>
      </w:r>
      <w:proofErr w:type="spellEnd"/>
      <w:r w:rsidRPr="008E6E36">
        <w:rPr>
          <w:rFonts w:cs="Tahoma"/>
          <w:sz w:val="20"/>
          <w:lang w:val="en-US"/>
        </w:rPr>
        <w:t xml:space="preserve"> </w:t>
      </w:r>
      <w:proofErr w:type="spellStart"/>
      <w:r w:rsidRPr="008E6E36">
        <w:rPr>
          <w:rFonts w:cs="Tahoma"/>
          <w:sz w:val="20"/>
          <w:lang w:val="en-US"/>
        </w:rPr>
        <w:t>Maynetto</w:t>
      </w:r>
      <w:proofErr w:type="spellEnd"/>
      <w:r w:rsidRPr="008E6E36">
        <w:rPr>
          <w:rFonts w:cs="Tahoma"/>
          <w:sz w:val="20"/>
          <w:lang w:val="en-US"/>
        </w:rPr>
        <w:t>.</w:t>
      </w:r>
    </w:p>
    <w:p w:rsidR="008E6E36" w:rsidRPr="008E6E36" w:rsidRDefault="008E6E36" w:rsidP="008E6E36">
      <w:pPr>
        <w:pStyle w:val="Textoindependiente21"/>
        <w:rPr>
          <w:rFonts w:cs="Tahoma"/>
          <w:sz w:val="20"/>
        </w:rPr>
      </w:pPr>
      <w:r w:rsidRPr="008E6E36">
        <w:rPr>
          <w:rFonts w:cs="Tahoma"/>
          <w:sz w:val="20"/>
        </w:rPr>
        <w:t xml:space="preserve">Fonseca </w:t>
      </w:r>
      <w:proofErr w:type="spellStart"/>
      <w:r w:rsidRPr="008E6E36">
        <w:rPr>
          <w:rFonts w:cs="Tahoma"/>
          <w:sz w:val="20"/>
        </w:rPr>
        <w:t>Oliveira</w:t>
      </w:r>
      <w:proofErr w:type="spellEnd"/>
      <w:r w:rsidRPr="008E6E36">
        <w:rPr>
          <w:rFonts w:cs="Tahoma"/>
          <w:sz w:val="20"/>
        </w:rPr>
        <w:t>.</w:t>
      </w:r>
    </w:p>
    <w:p w:rsidR="008E6E36" w:rsidRPr="008E6E36" w:rsidRDefault="008E6E36" w:rsidP="008E6E36">
      <w:pPr>
        <w:rPr>
          <w:rFonts w:ascii="Tahoma" w:hAnsi="Tahoma" w:cs="Tahoma"/>
        </w:rPr>
      </w:pPr>
    </w:p>
    <w:p w:rsidR="009F73BA" w:rsidRPr="008E6E36" w:rsidRDefault="009F73BA">
      <w:pPr>
        <w:rPr>
          <w:rFonts w:ascii="Tahoma" w:hAnsi="Tahoma" w:cs="Tahoma"/>
        </w:rPr>
      </w:pPr>
    </w:p>
    <w:sectPr w:rsidR="009F73BA" w:rsidRPr="008E6E36" w:rsidSect="009F73BA">
      <w:headerReference w:type="default" r:id="rId7"/>
      <w:footerReference w:type="even" r:id="rId8"/>
      <w:footerReference w:type="default" r:id="rId9"/>
      <w:pgSz w:w="11907" w:h="16840" w:code="9"/>
      <w:pgMar w:top="2694" w:right="1559" w:bottom="1418" w:left="1701"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3BA" w:rsidRDefault="009F73BA" w:rsidP="008E6E36">
      <w:r>
        <w:separator/>
      </w:r>
    </w:p>
  </w:endnote>
  <w:endnote w:type="continuationSeparator" w:id="1">
    <w:p w:rsidR="009F73BA" w:rsidRDefault="009F73BA" w:rsidP="008E6E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BA" w:rsidRDefault="00C26257" w:rsidP="009F73BA">
    <w:pPr>
      <w:pStyle w:val="Piedepgina"/>
      <w:framePr w:wrap="around" w:vAnchor="text" w:hAnchor="margin" w:xAlign="center" w:y="1"/>
      <w:rPr>
        <w:rStyle w:val="Nmerodepgina"/>
      </w:rPr>
    </w:pPr>
    <w:r>
      <w:rPr>
        <w:rStyle w:val="Nmerodepgina"/>
      </w:rPr>
      <w:fldChar w:fldCharType="begin"/>
    </w:r>
    <w:r w:rsidR="009F73BA">
      <w:rPr>
        <w:rStyle w:val="Nmerodepgina"/>
      </w:rPr>
      <w:instrText xml:space="preserve">PAGE  </w:instrText>
    </w:r>
    <w:r>
      <w:rPr>
        <w:rStyle w:val="Nmerodepgina"/>
      </w:rPr>
      <w:fldChar w:fldCharType="end"/>
    </w:r>
  </w:p>
  <w:p w:rsidR="009F73BA" w:rsidRDefault="009F73B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BA" w:rsidRPr="004A4E6B" w:rsidRDefault="009F73BA">
    <w:pPr>
      <w:pStyle w:val="Piedepgina"/>
      <w:framePr w:wrap="around" w:vAnchor="text" w:hAnchor="margin" w:xAlign="center" w:y="1"/>
      <w:rPr>
        <w:rStyle w:val="Nmerodepgina"/>
        <w:i/>
        <w:sz w:val="20"/>
      </w:rPr>
    </w:pPr>
    <w:r w:rsidRPr="004A4E6B">
      <w:rPr>
        <w:rStyle w:val="Nmerodepgina"/>
        <w:i/>
        <w:sz w:val="20"/>
      </w:rPr>
      <w:t xml:space="preserve">Página </w:t>
    </w:r>
    <w:r w:rsidR="00C26257" w:rsidRPr="004A4E6B">
      <w:rPr>
        <w:rStyle w:val="Nmerodepgina"/>
        <w:i/>
        <w:sz w:val="20"/>
      </w:rPr>
      <w:fldChar w:fldCharType="begin"/>
    </w:r>
    <w:r w:rsidRPr="004A4E6B">
      <w:rPr>
        <w:rStyle w:val="Nmerodepgina"/>
        <w:i/>
        <w:sz w:val="20"/>
      </w:rPr>
      <w:instrText xml:space="preserve"> PAGE </w:instrText>
    </w:r>
    <w:r w:rsidR="00C26257" w:rsidRPr="004A4E6B">
      <w:rPr>
        <w:rStyle w:val="Nmerodepgina"/>
        <w:i/>
        <w:sz w:val="20"/>
      </w:rPr>
      <w:fldChar w:fldCharType="separate"/>
    </w:r>
    <w:r w:rsidR="00DF7DB5">
      <w:rPr>
        <w:rStyle w:val="Nmerodepgina"/>
        <w:i/>
        <w:noProof/>
        <w:sz w:val="20"/>
      </w:rPr>
      <w:t>1</w:t>
    </w:r>
    <w:r w:rsidR="00C26257" w:rsidRPr="004A4E6B">
      <w:rPr>
        <w:rStyle w:val="Nmerodepgina"/>
        <w:i/>
        <w:sz w:val="20"/>
      </w:rPr>
      <w:fldChar w:fldCharType="end"/>
    </w:r>
    <w:r w:rsidRPr="004A4E6B">
      <w:rPr>
        <w:rStyle w:val="Nmerodepgina"/>
        <w:i/>
        <w:sz w:val="20"/>
      </w:rPr>
      <w:t xml:space="preserve"> de </w:t>
    </w:r>
    <w:r w:rsidR="00C26257" w:rsidRPr="004A4E6B">
      <w:rPr>
        <w:rStyle w:val="Nmerodepgina"/>
        <w:i/>
        <w:sz w:val="20"/>
      </w:rPr>
      <w:fldChar w:fldCharType="begin"/>
    </w:r>
    <w:r w:rsidRPr="004A4E6B">
      <w:rPr>
        <w:rStyle w:val="Nmerodepgina"/>
        <w:i/>
        <w:sz w:val="20"/>
      </w:rPr>
      <w:instrText xml:space="preserve"> NUMPAGES </w:instrText>
    </w:r>
    <w:r w:rsidR="00C26257" w:rsidRPr="004A4E6B">
      <w:rPr>
        <w:rStyle w:val="Nmerodepgina"/>
        <w:i/>
        <w:sz w:val="20"/>
      </w:rPr>
      <w:fldChar w:fldCharType="separate"/>
    </w:r>
    <w:r w:rsidR="00DF7DB5">
      <w:rPr>
        <w:rStyle w:val="Nmerodepgina"/>
        <w:i/>
        <w:noProof/>
        <w:sz w:val="20"/>
      </w:rPr>
      <w:t>7</w:t>
    </w:r>
    <w:r w:rsidR="00C26257" w:rsidRPr="004A4E6B">
      <w:rPr>
        <w:rStyle w:val="Nmerodepgina"/>
        <w:i/>
        <w:sz w:val="20"/>
      </w:rPr>
      <w:fldChar w:fldCharType="end"/>
    </w:r>
  </w:p>
  <w:p w:rsidR="009F73BA" w:rsidRDefault="009F73B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3BA" w:rsidRDefault="009F73BA" w:rsidP="008E6E36">
      <w:r>
        <w:separator/>
      </w:r>
    </w:p>
  </w:footnote>
  <w:footnote w:type="continuationSeparator" w:id="1">
    <w:p w:rsidR="009F73BA" w:rsidRDefault="009F73BA" w:rsidP="008E6E36">
      <w:r>
        <w:continuationSeparator/>
      </w:r>
    </w:p>
  </w:footnote>
  <w:footnote w:id="2">
    <w:p w:rsidR="009F73BA" w:rsidRPr="00C12921" w:rsidRDefault="009F73BA" w:rsidP="008E6E3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6"/>
          <w:szCs w:val="16"/>
          <w:lang w:val="es-ES_tradnl"/>
        </w:rPr>
      </w:pPr>
      <w:r w:rsidRPr="00C12921">
        <w:rPr>
          <w:rStyle w:val="Refdenotaalpie"/>
          <w:sz w:val="16"/>
          <w:szCs w:val="16"/>
        </w:rPr>
        <w:footnoteRef/>
      </w:r>
      <w:r w:rsidRPr="00C12921">
        <w:rPr>
          <w:sz w:val="16"/>
          <w:szCs w:val="16"/>
        </w:rPr>
        <w:t xml:space="preserve"> </w:t>
      </w:r>
      <w:r w:rsidRPr="00C12921">
        <w:rPr>
          <w:b/>
          <w:bCs/>
          <w:sz w:val="16"/>
          <w:szCs w:val="16"/>
          <w:lang w:val="es-ES_tradnl"/>
        </w:rPr>
        <w:t xml:space="preserve">Artículo 294.- Causales de aplicación de sanción a los proveedores, participantes, postores y contratistas. </w:t>
      </w:r>
    </w:p>
    <w:p w:rsidR="009F73BA" w:rsidRPr="00C12921" w:rsidRDefault="009F73BA" w:rsidP="008E6E3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lang w:val="es-ES_tradnl"/>
        </w:rPr>
      </w:pPr>
      <w:r w:rsidRPr="00C12921">
        <w:rPr>
          <w:sz w:val="16"/>
          <w:szCs w:val="16"/>
          <w:lang w:val="es-ES_tradnl"/>
        </w:rPr>
        <w:t>El Tribunal impondrá la sanción administrativa de inhabilitación temporal o definitiva a los proveedores, participantes, postores y/o contratistas que:</w:t>
      </w:r>
    </w:p>
    <w:p w:rsidR="009F73BA" w:rsidRPr="00C12921" w:rsidRDefault="009F73BA" w:rsidP="008E6E3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lang w:val="es-ES_tradnl"/>
        </w:rPr>
      </w:pPr>
      <w:r w:rsidRPr="00C12921">
        <w:rPr>
          <w:sz w:val="16"/>
          <w:szCs w:val="16"/>
          <w:lang w:val="es-ES_tradnl"/>
        </w:rPr>
        <w:t>[…]</w:t>
      </w:r>
    </w:p>
    <w:p w:rsidR="009F73BA" w:rsidRPr="00C12921" w:rsidRDefault="009F73BA" w:rsidP="008E6E3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lang w:val="es-ES_tradnl"/>
        </w:rPr>
      </w:pPr>
      <w:r w:rsidRPr="00C12921">
        <w:rPr>
          <w:sz w:val="16"/>
          <w:szCs w:val="16"/>
          <w:lang w:val="es-ES_tradnl"/>
        </w:rPr>
        <w:t>2) Den lugar a la resolución del contrato, orden de compra o de servicios por causal atribuible a su parte.</w:t>
      </w:r>
    </w:p>
    <w:p w:rsidR="009F73BA" w:rsidRDefault="009F73BA" w:rsidP="008E6E3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3">
    <w:p w:rsidR="009F73BA" w:rsidRPr="00C12921" w:rsidRDefault="009F73BA" w:rsidP="008E6E36">
      <w:pPr>
        <w:pStyle w:val="Textonotapie"/>
        <w:rPr>
          <w:sz w:val="16"/>
          <w:szCs w:val="16"/>
        </w:rPr>
      </w:pPr>
      <w:r w:rsidRPr="00C12921">
        <w:rPr>
          <w:rStyle w:val="Refdenotaalpie"/>
          <w:sz w:val="16"/>
          <w:szCs w:val="16"/>
        </w:rPr>
        <w:footnoteRef/>
      </w:r>
      <w:r w:rsidRPr="00C12921">
        <w:rPr>
          <w:sz w:val="16"/>
          <w:szCs w:val="16"/>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p w:rsidR="009F73BA" w:rsidRDefault="009F73BA" w:rsidP="008E6E36">
      <w:pPr>
        <w:pStyle w:val="Textonotapie"/>
        <w:rPr>
          <w:sz w:val="18"/>
          <w:szCs w:val="18"/>
        </w:rPr>
      </w:pPr>
    </w:p>
    <w:p w:rsidR="009F73BA" w:rsidRDefault="009F73BA" w:rsidP="008E6E36">
      <w:pPr>
        <w:pStyle w:val="Textonotapie"/>
        <w:rPr>
          <w:sz w:val="18"/>
          <w:szCs w:val="18"/>
        </w:rPr>
      </w:pPr>
    </w:p>
    <w:p w:rsidR="009F73BA" w:rsidRDefault="009F73BA" w:rsidP="008E6E36">
      <w:pPr>
        <w:pStyle w:val="Textonotapie"/>
        <w:rPr>
          <w:sz w:val="18"/>
          <w:szCs w:val="18"/>
        </w:rPr>
      </w:pPr>
    </w:p>
    <w:p w:rsidR="009F73BA" w:rsidRDefault="009F73BA" w:rsidP="008E6E36">
      <w:pPr>
        <w:pStyle w:val="Textonotapie"/>
      </w:pPr>
    </w:p>
  </w:footnote>
  <w:footnote w:id="4">
    <w:p w:rsidR="009F73BA" w:rsidRDefault="009F73BA" w:rsidP="008E6E36">
      <w:pPr>
        <w:pStyle w:val="Textonotapie"/>
      </w:pPr>
      <w:r>
        <w:rPr>
          <w:rStyle w:val="Refdenotaalpie"/>
          <w:i/>
          <w:iCs/>
          <w:sz w:val="18"/>
          <w:szCs w:val="18"/>
        </w:rPr>
        <w:footnoteRef/>
      </w:r>
      <w:r>
        <w:rPr>
          <w:i/>
          <w:iCs/>
          <w:sz w:val="18"/>
          <w:szCs w:val="18"/>
        </w:rPr>
        <w:t xml:space="preserve"> Documento obrante a fojas 170   del expediente administrativo.</w:t>
      </w:r>
    </w:p>
  </w:footnote>
  <w:footnote w:id="5">
    <w:p w:rsidR="009F73BA" w:rsidRDefault="009F73BA" w:rsidP="008E6E36">
      <w:pPr>
        <w:pStyle w:val="Textonotapie"/>
      </w:pPr>
      <w:r>
        <w:rPr>
          <w:rStyle w:val="Refdenotaalpie"/>
          <w:i/>
          <w:iCs/>
          <w:sz w:val="18"/>
          <w:szCs w:val="18"/>
        </w:rPr>
        <w:footnoteRef/>
      </w:r>
      <w:r>
        <w:rPr>
          <w:i/>
          <w:iCs/>
          <w:sz w:val="18"/>
          <w:szCs w:val="18"/>
        </w:rPr>
        <w:t xml:space="preserve"> </w:t>
      </w:r>
      <w:bookmarkStart w:id="2" w:name="OLE_LINK8"/>
      <w:bookmarkStart w:id="3" w:name="OLE_LINK7"/>
      <w:r>
        <w:rPr>
          <w:i/>
          <w:iCs/>
          <w:sz w:val="18"/>
          <w:szCs w:val="18"/>
        </w:rPr>
        <w:t>Documento obrante a fojas 176 del expediente administrativo.</w:t>
      </w:r>
      <w:bookmarkEnd w:id="2"/>
      <w:bookmarkEnd w:id="3"/>
    </w:p>
  </w:footnote>
  <w:footnote w:id="6">
    <w:p w:rsidR="009F73BA" w:rsidRDefault="009F73BA" w:rsidP="008E6E36">
      <w:pPr>
        <w:pStyle w:val="Textonotapie"/>
      </w:pPr>
      <w:r>
        <w:rPr>
          <w:rStyle w:val="Refdenotaalpie"/>
          <w:i/>
          <w:iCs/>
          <w:sz w:val="18"/>
          <w:szCs w:val="18"/>
        </w:rPr>
        <w:footnoteRef/>
      </w:r>
      <w:r>
        <w:rPr>
          <w:i/>
          <w:iCs/>
          <w:sz w:val="18"/>
          <w:szCs w:val="18"/>
        </w:rPr>
        <w:t xml:space="preserve"> Documento obrante a fojas 178 del expediente administrativo.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DB5" w:rsidRDefault="00DF7DB5" w:rsidP="00DF7DB5">
    <w:pPr>
      <w:pStyle w:val="Encabezado"/>
      <w:jc w:val="center"/>
      <w:rPr>
        <w:rFonts w:ascii="Monotype Corsiva" w:hAnsi="Monotype Corsiva"/>
        <w:b/>
        <w:sz w:val="44"/>
        <w:szCs w:val="44"/>
      </w:rPr>
    </w:pPr>
    <w:r>
      <w:rPr>
        <w:noProof/>
      </w:rPr>
      <w:drawing>
        <wp:anchor distT="0" distB="0" distL="114300" distR="114300" simplePos="0" relativeHeight="251658240" behindDoc="0" locked="0" layoutInCell="1" allowOverlap="1">
          <wp:simplePos x="0" y="0"/>
          <wp:positionH relativeFrom="column">
            <wp:posOffset>-593725</wp:posOffset>
          </wp:positionH>
          <wp:positionV relativeFrom="paragraph">
            <wp:posOffset>-59690</wp:posOffset>
          </wp:positionV>
          <wp:extent cx="6515100" cy="58102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5100" cy="581025"/>
                  </a:xfrm>
                  <a:prstGeom prst="rect">
                    <a:avLst/>
                  </a:prstGeom>
                  <a:noFill/>
                </pic:spPr>
              </pic:pic>
            </a:graphicData>
          </a:graphic>
        </wp:anchor>
      </w:drawing>
    </w:r>
  </w:p>
  <w:p w:rsidR="00DF7DB5" w:rsidRDefault="00DF7DB5" w:rsidP="00DF7DB5">
    <w:pPr>
      <w:pStyle w:val="Encabezado"/>
      <w:jc w:val="center"/>
      <w:rPr>
        <w:rFonts w:ascii="Monotype Corsiva" w:hAnsi="Monotype Corsiva"/>
        <w:b/>
        <w:sz w:val="44"/>
        <w:szCs w:val="44"/>
      </w:rPr>
    </w:pPr>
  </w:p>
  <w:p w:rsidR="00DF7DB5" w:rsidRDefault="00DF7DB5" w:rsidP="00DF7DB5">
    <w:pPr>
      <w:pStyle w:val="Encabezado"/>
      <w:jc w:val="center"/>
      <w:rPr>
        <w:rFonts w:ascii="Monotype Corsiva" w:hAnsi="Monotype Corsiva"/>
        <w:b/>
        <w:sz w:val="44"/>
        <w:szCs w:val="44"/>
      </w:rPr>
    </w:pPr>
  </w:p>
  <w:p w:rsidR="00DF7DB5" w:rsidRDefault="00DF7DB5" w:rsidP="00DF7DB5">
    <w:pPr>
      <w:pStyle w:val="Encabezado"/>
      <w:jc w:val="center"/>
      <w:rPr>
        <w:rFonts w:ascii="Tahoma" w:hAnsi="Tahoma" w:cs="Tahoma"/>
        <w:b/>
        <w:sz w:val="44"/>
        <w:szCs w:val="44"/>
      </w:rPr>
    </w:pPr>
    <w:r>
      <w:rPr>
        <w:rFonts w:ascii="Monotype Corsiva" w:hAnsi="Monotype Corsiva"/>
        <w:b/>
        <w:sz w:val="44"/>
        <w:szCs w:val="44"/>
      </w:rPr>
      <w:t xml:space="preserve">Resolución Nº   </w:t>
    </w:r>
    <w:r>
      <w:rPr>
        <w:rFonts w:ascii="Tahoma" w:hAnsi="Tahoma" w:cs="Tahoma"/>
        <w:b/>
        <w:sz w:val="44"/>
        <w:szCs w:val="44"/>
      </w:rPr>
      <w:t>117-2011-TC-S1</w:t>
    </w:r>
  </w:p>
  <w:p w:rsidR="00DF7DB5" w:rsidRPr="00DF7DB5" w:rsidRDefault="00DF7DB5" w:rsidP="00DF7DB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B5034"/>
    <w:multiLevelType w:val="hybridMultilevel"/>
    <w:tmpl w:val="52141D3E"/>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
    <w:nsid w:val="1591156A"/>
    <w:multiLevelType w:val="hybridMultilevel"/>
    <w:tmpl w:val="701EABAE"/>
    <w:lvl w:ilvl="0" w:tplc="0C0A001B">
      <w:start w:val="1"/>
      <w:numFmt w:val="lowerRoman"/>
      <w:lvlText w:val="%1."/>
      <w:lvlJc w:val="right"/>
      <w:pPr>
        <w:ind w:left="2130" w:hanging="360"/>
      </w:pPr>
    </w:lvl>
    <w:lvl w:ilvl="1" w:tplc="0C0A0019">
      <w:start w:val="1"/>
      <w:numFmt w:val="lowerLetter"/>
      <w:lvlText w:val="%2."/>
      <w:lvlJc w:val="left"/>
      <w:pPr>
        <w:ind w:left="2850" w:hanging="360"/>
      </w:pPr>
    </w:lvl>
    <w:lvl w:ilvl="2" w:tplc="0C0A001B">
      <w:start w:val="1"/>
      <w:numFmt w:val="lowerRoman"/>
      <w:lvlText w:val="%3."/>
      <w:lvlJc w:val="right"/>
      <w:pPr>
        <w:ind w:left="3570" w:hanging="180"/>
      </w:pPr>
    </w:lvl>
    <w:lvl w:ilvl="3" w:tplc="0C0A000F">
      <w:start w:val="1"/>
      <w:numFmt w:val="decimal"/>
      <w:lvlText w:val="%4."/>
      <w:lvlJc w:val="left"/>
      <w:pPr>
        <w:ind w:left="4290" w:hanging="360"/>
      </w:pPr>
    </w:lvl>
    <w:lvl w:ilvl="4" w:tplc="0C0A0019">
      <w:start w:val="1"/>
      <w:numFmt w:val="lowerLetter"/>
      <w:lvlText w:val="%5."/>
      <w:lvlJc w:val="left"/>
      <w:pPr>
        <w:ind w:left="5010" w:hanging="360"/>
      </w:pPr>
    </w:lvl>
    <w:lvl w:ilvl="5" w:tplc="0C0A001B">
      <w:start w:val="1"/>
      <w:numFmt w:val="lowerRoman"/>
      <w:lvlText w:val="%6."/>
      <w:lvlJc w:val="right"/>
      <w:pPr>
        <w:ind w:left="5730" w:hanging="180"/>
      </w:pPr>
    </w:lvl>
    <w:lvl w:ilvl="6" w:tplc="0C0A000F">
      <w:start w:val="1"/>
      <w:numFmt w:val="decimal"/>
      <w:lvlText w:val="%7."/>
      <w:lvlJc w:val="left"/>
      <w:pPr>
        <w:ind w:left="6450" w:hanging="360"/>
      </w:pPr>
    </w:lvl>
    <w:lvl w:ilvl="7" w:tplc="0C0A0019">
      <w:start w:val="1"/>
      <w:numFmt w:val="lowerLetter"/>
      <w:lvlText w:val="%8."/>
      <w:lvlJc w:val="left"/>
      <w:pPr>
        <w:ind w:left="7170" w:hanging="360"/>
      </w:pPr>
    </w:lvl>
    <w:lvl w:ilvl="8" w:tplc="0C0A001B">
      <w:start w:val="1"/>
      <w:numFmt w:val="lowerRoman"/>
      <w:lvlText w:val="%9."/>
      <w:lvlJc w:val="right"/>
      <w:pPr>
        <w:ind w:left="7890" w:hanging="180"/>
      </w:pPr>
    </w:lvl>
  </w:abstractNum>
  <w:abstractNum w:abstractNumId="2">
    <w:nsid w:val="19087D5E"/>
    <w:multiLevelType w:val="hybridMultilevel"/>
    <w:tmpl w:val="8BE68676"/>
    <w:lvl w:ilvl="0" w:tplc="BA58379A">
      <w:start w:val="1"/>
      <w:numFmt w:val="decimal"/>
      <w:lvlText w:val="%1."/>
      <w:lvlJc w:val="left"/>
      <w:pPr>
        <w:tabs>
          <w:tab w:val="num" w:pos="720"/>
        </w:tabs>
        <w:ind w:left="720" w:hanging="360"/>
      </w:pPr>
      <w:rPr>
        <w:b/>
        <w:bCs/>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197C6DA9"/>
    <w:multiLevelType w:val="hybridMultilevel"/>
    <w:tmpl w:val="83ACF380"/>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
    <w:nsid w:val="292E7221"/>
    <w:multiLevelType w:val="hybridMultilevel"/>
    <w:tmpl w:val="7FBAAB88"/>
    <w:lvl w:ilvl="0" w:tplc="205A7AF8">
      <w:start w:val="1"/>
      <w:numFmt w:val="decimal"/>
      <w:lvlText w:val="%1."/>
      <w:lvlJc w:val="left"/>
      <w:pPr>
        <w:tabs>
          <w:tab w:val="num" w:pos="720"/>
        </w:tabs>
        <w:ind w:left="720" w:hanging="360"/>
      </w:pPr>
      <w:rPr>
        <w:rFonts w:ascii="Tahoma" w:hAnsi="Tahoma" w:cs="Tahoma" w:hint="default"/>
        <w:b/>
        <w:bCs/>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2A604CF2"/>
    <w:multiLevelType w:val="hybridMultilevel"/>
    <w:tmpl w:val="2102CA88"/>
    <w:lvl w:ilvl="0" w:tplc="6B2870C4">
      <w:start w:val="1"/>
      <w:numFmt w:val="decimal"/>
      <w:lvlText w:val="%1)"/>
      <w:lvlJc w:val="left"/>
      <w:pPr>
        <w:tabs>
          <w:tab w:val="num" w:pos="720"/>
        </w:tabs>
        <w:ind w:left="720" w:hanging="360"/>
      </w:pPr>
      <w:rPr>
        <w:sz w:val="16"/>
        <w:szCs w:val="16"/>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2E970C2A"/>
    <w:multiLevelType w:val="hybridMultilevel"/>
    <w:tmpl w:val="3724E4FE"/>
    <w:lvl w:ilvl="0" w:tplc="420E700E">
      <w:start w:val="1"/>
      <w:numFmt w:val="lowerRoman"/>
      <w:lvlText w:val="%1)"/>
      <w:lvlJc w:val="left"/>
      <w:pPr>
        <w:tabs>
          <w:tab w:val="num" w:pos="1428"/>
        </w:tabs>
        <w:ind w:left="1428" w:hanging="720"/>
      </w:pPr>
      <w:rPr>
        <w:rFonts w:hint="default"/>
      </w:rPr>
    </w:lvl>
    <w:lvl w:ilvl="1" w:tplc="0C0A0019">
      <w:start w:val="1"/>
      <w:numFmt w:val="lowerLetter"/>
      <w:lvlText w:val="%2."/>
      <w:lvlJc w:val="left"/>
      <w:pPr>
        <w:tabs>
          <w:tab w:val="num" w:pos="1788"/>
        </w:tabs>
        <w:ind w:left="1788" w:hanging="360"/>
      </w:pPr>
    </w:lvl>
    <w:lvl w:ilvl="2" w:tplc="0C0A001B">
      <w:start w:val="1"/>
      <w:numFmt w:val="lowerRoman"/>
      <w:lvlText w:val="%3."/>
      <w:lvlJc w:val="right"/>
      <w:pPr>
        <w:tabs>
          <w:tab w:val="num" w:pos="2508"/>
        </w:tabs>
        <w:ind w:left="2508" w:hanging="180"/>
      </w:pPr>
    </w:lvl>
    <w:lvl w:ilvl="3" w:tplc="0C0A000F">
      <w:start w:val="1"/>
      <w:numFmt w:val="decimal"/>
      <w:lvlText w:val="%4."/>
      <w:lvlJc w:val="left"/>
      <w:pPr>
        <w:tabs>
          <w:tab w:val="num" w:pos="3228"/>
        </w:tabs>
        <w:ind w:left="3228" w:hanging="360"/>
      </w:pPr>
    </w:lvl>
    <w:lvl w:ilvl="4" w:tplc="0C0A0019">
      <w:start w:val="1"/>
      <w:numFmt w:val="lowerLetter"/>
      <w:lvlText w:val="%5."/>
      <w:lvlJc w:val="left"/>
      <w:pPr>
        <w:tabs>
          <w:tab w:val="num" w:pos="3948"/>
        </w:tabs>
        <w:ind w:left="3948" w:hanging="360"/>
      </w:pPr>
    </w:lvl>
    <w:lvl w:ilvl="5" w:tplc="0C0A001B">
      <w:start w:val="1"/>
      <w:numFmt w:val="lowerRoman"/>
      <w:lvlText w:val="%6."/>
      <w:lvlJc w:val="right"/>
      <w:pPr>
        <w:tabs>
          <w:tab w:val="num" w:pos="4668"/>
        </w:tabs>
        <w:ind w:left="4668" w:hanging="180"/>
      </w:pPr>
    </w:lvl>
    <w:lvl w:ilvl="6" w:tplc="0C0A000F">
      <w:start w:val="1"/>
      <w:numFmt w:val="decimal"/>
      <w:lvlText w:val="%7."/>
      <w:lvlJc w:val="left"/>
      <w:pPr>
        <w:tabs>
          <w:tab w:val="num" w:pos="5388"/>
        </w:tabs>
        <w:ind w:left="5388" w:hanging="360"/>
      </w:pPr>
    </w:lvl>
    <w:lvl w:ilvl="7" w:tplc="0C0A0019">
      <w:start w:val="1"/>
      <w:numFmt w:val="lowerLetter"/>
      <w:lvlText w:val="%8."/>
      <w:lvlJc w:val="left"/>
      <w:pPr>
        <w:tabs>
          <w:tab w:val="num" w:pos="6108"/>
        </w:tabs>
        <w:ind w:left="6108" w:hanging="360"/>
      </w:pPr>
    </w:lvl>
    <w:lvl w:ilvl="8" w:tplc="0C0A001B">
      <w:start w:val="1"/>
      <w:numFmt w:val="lowerRoman"/>
      <w:lvlText w:val="%9."/>
      <w:lvlJc w:val="right"/>
      <w:pPr>
        <w:tabs>
          <w:tab w:val="num" w:pos="6828"/>
        </w:tabs>
        <w:ind w:left="6828" w:hanging="180"/>
      </w:pPr>
    </w:lvl>
  </w:abstractNum>
  <w:abstractNum w:abstractNumId="7">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82A3B48"/>
    <w:multiLevelType w:val="hybridMultilevel"/>
    <w:tmpl w:val="D4C66138"/>
    <w:lvl w:ilvl="0" w:tplc="0C0A0001">
      <w:start w:val="1"/>
      <w:numFmt w:val="bullet"/>
      <w:lvlText w:val=""/>
      <w:lvlJc w:val="left"/>
      <w:pPr>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nsid w:val="49950A46"/>
    <w:multiLevelType w:val="hybridMultilevel"/>
    <w:tmpl w:val="8B14E522"/>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nsid w:val="713B355C"/>
    <w:multiLevelType w:val="hybridMultilevel"/>
    <w:tmpl w:val="8984251C"/>
    <w:lvl w:ilvl="0" w:tplc="0C0A001B">
      <w:start w:val="1"/>
      <w:numFmt w:val="lowerRoman"/>
      <w:lvlText w:val="%1."/>
      <w:lvlJc w:val="right"/>
      <w:pPr>
        <w:ind w:left="1428" w:hanging="360"/>
      </w:pPr>
    </w:lvl>
    <w:lvl w:ilvl="1" w:tplc="0C0A0019">
      <w:start w:val="1"/>
      <w:numFmt w:val="lowerLetter"/>
      <w:lvlText w:val="%2."/>
      <w:lvlJc w:val="left"/>
      <w:pPr>
        <w:ind w:left="2148" w:hanging="360"/>
      </w:pPr>
    </w:lvl>
    <w:lvl w:ilvl="2" w:tplc="0C0A001B">
      <w:start w:val="1"/>
      <w:numFmt w:val="lowerRoman"/>
      <w:lvlText w:val="%3."/>
      <w:lvlJc w:val="right"/>
      <w:pPr>
        <w:ind w:left="2868" w:hanging="180"/>
      </w:pPr>
    </w:lvl>
    <w:lvl w:ilvl="3" w:tplc="0C0A000F">
      <w:start w:val="1"/>
      <w:numFmt w:val="decimal"/>
      <w:lvlText w:val="%4."/>
      <w:lvlJc w:val="left"/>
      <w:pPr>
        <w:ind w:left="3588" w:hanging="360"/>
      </w:pPr>
    </w:lvl>
    <w:lvl w:ilvl="4" w:tplc="0C0A0019">
      <w:start w:val="1"/>
      <w:numFmt w:val="lowerLetter"/>
      <w:lvlText w:val="%5."/>
      <w:lvlJc w:val="left"/>
      <w:pPr>
        <w:ind w:left="4308" w:hanging="360"/>
      </w:pPr>
    </w:lvl>
    <w:lvl w:ilvl="5" w:tplc="0C0A001B">
      <w:start w:val="1"/>
      <w:numFmt w:val="lowerRoman"/>
      <w:lvlText w:val="%6."/>
      <w:lvlJc w:val="right"/>
      <w:pPr>
        <w:ind w:left="5028" w:hanging="180"/>
      </w:pPr>
    </w:lvl>
    <w:lvl w:ilvl="6" w:tplc="0C0A000F">
      <w:start w:val="1"/>
      <w:numFmt w:val="decimal"/>
      <w:lvlText w:val="%7."/>
      <w:lvlJc w:val="left"/>
      <w:pPr>
        <w:ind w:left="5748" w:hanging="360"/>
      </w:pPr>
    </w:lvl>
    <w:lvl w:ilvl="7" w:tplc="0C0A0019">
      <w:start w:val="1"/>
      <w:numFmt w:val="lowerLetter"/>
      <w:lvlText w:val="%8."/>
      <w:lvlJc w:val="left"/>
      <w:pPr>
        <w:ind w:left="6468" w:hanging="360"/>
      </w:pPr>
    </w:lvl>
    <w:lvl w:ilvl="8" w:tplc="0C0A001B">
      <w:start w:val="1"/>
      <w:numFmt w:val="lowerRoman"/>
      <w:lvlText w:val="%9."/>
      <w:lvlJc w:val="right"/>
      <w:pPr>
        <w:ind w:left="7188" w:hanging="180"/>
      </w:pPr>
    </w:lvl>
  </w:abstractNum>
  <w:abstractNum w:abstractNumId="13">
    <w:nsid w:val="7AFE29E9"/>
    <w:multiLevelType w:val="hybridMultilevel"/>
    <w:tmpl w:val="0FDA60BC"/>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12"/>
  </w:num>
  <w:num w:numId="6">
    <w:abstractNumId w:val="13"/>
  </w:num>
  <w:num w:numId="7">
    <w:abstractNumId w:val="5"/>
  </w:num>
  <w:num w:numId="8">
    <w:abstractNumId w:val="10"/>
  </w:num>
  <w:num w:numId="9">
    <w:abstractNumId w:val="2"/>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8E6E36"/>
    <w:rsid w:val="001A6CCB"/>
    <w:rsid w:val="005B1932"/>
    <w:rsid w:val="0066645E"/>
    <w:rsid w:val="00735A97"/>
    <w:rsid w:val="00804D62"/>
    <w:rsid w:val="008E6E36"/>
    <w:rsid w:val="0096071E"/>
    <w:rsid w:val="009F73BA"/>
    <w:rsid w:val="00A25186"/>
    <w:rsid w:val="00B849AF"/>
    <w:rsid w:val="00C26257"/>
    <w:rsid w:val="00D8783C"/>
    <w:rsid w:val="00DF7DB5"/>
    <w:rsid w:val="00F55447"/>
    <w:rsid w:val="00FC5E8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E36"/>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E6E36"/>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8E6E36"/>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8E6E36"/>
  </w:style>
  <w:style w:type="paragraph" w:styleId="Textoindependiente">
    <w:name w:val="Body Text"/>
    <w:basedOn w:val="Normal"/>
    <w:link w:val="TextoindependienteCar"/>
    <w:rsid w:val="008E6E36"/>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8E6E36"/>
    <w:rPr>
      <w:rFonts w:ascii="Tahoma" w:eastAsia="Times New Roman" w:hAnsi="Tahoma" w:cs="Times New Roman"/>
      <w:szCs w:val="20"/>
      <w:lang w:val="es-ES_tradnl" w:eastAsia="es-ES"/>
    </w:rPr>
  </w:style>
  <w:style w:type="paragraph" w:customStyle="1" w:styleId="Textoindependiente21">
    <w:name w:val="Texto independiente 21"/>
    <w:basedOn w:val="Normal"/>
    <w:rsid w:val="008E6E36"/>
    <w:pPr>
      <w:jc w:val="both"/>
    </w:pPr>
    <w:rPr>
      <w:rFonts w:ascii="Tahoma" w:hAnsi="Tahoma"/>
      <w:sz w:val="22"/>
    </w:rPr>
  </w:style>
  <w:style w:type="paragraph" w:styleId="Textoindependiente3">
    <w:name w:val="Body Text 3"/>
    <w:basedOn w:val="Normal"/>
    <w:link w:val="Textoindependiente3Car"/>
    <w:rsid w:val="008E6E36"/>
    <w:pPr>
      <w:spacing w:after="120"/>
    </w:pPr>
    <w:rPr>
      <w:sz w:val="16"/>
      <w:szCs w:val="16"/>
      <w:lang w:val="es-PE"/>
    </w:rPr>
  </w:style>
  <w:style w:type="character" w:customStyle="1" w:styleId="Textoindependiente3Car">
    <w:name w:val="Texto independiente 3 Car"/>
    <w:basedOn w:val="Fuentedeprrafopredeter"/>
    <w:link w:val="Textoindependiente3"/>
    <w:rsid w:val="008E6E36"/>
    <w:rPr>
      <w:rFonts w:ascii="Times New Roman" w:eastAsia="Times New Roman" w:hAnsi="Times New Roman" w:cs="Times New Roman"/>
      <w:sz w:val="16"/>
      <w:szCs w:val="16"/>
      <w:lang w:val="es-PE" w:eastAsia="es-ES"/>
    </w:rPr>
  </w:style>
  <w:style w:type="paragraph" w:styleId="Textonotapie">
    <w:name w:val="footnote text"/>
    <w:aliases w:val="Car,Car Car,Texto nota pie1,Car4,Texto independiente1, Car, Car4,Body Text,Texto independiente2,Car2 Car Car Car Car Car,Car2 Car,Car2,Car1 Car,Car1,Car41,Texto independiente11,Car3"/>
    <w:basedOn w:val="Normal"/>
    <w:link w:val="TextonotapieCar"/>
    <w:uiPriority w:val="99"/>
    <w:semiHidden/>
    <w:rsid w:val="008E6E36"/>
  </w:style>
  <w:style w:type="character" w:customStyle="1" w:styleId="TextonotapieCar">
    <w:name w:val="Texto nota pie Car"/>
    <w:aliases w:val="Car Car1,Car Car Car,Texto nota pie1 Car,Car4 Car,Texto independiente1 Car, Car Car, Car4 Car,Body Text Car,Texto independiente2 Car,Car2 Car Car Car Car Car Car,Car2 Car Car,Car2 Car1,Car1 Car Car,Car1 Car1,Car41 Car,Car3 Car"/>
    <w:basedOn w:val="Fuentedeprrafopredeter"/>
    <w:link w:val="Textonotapie"/>
    <w:uiPriority w:val="99"/>
    <w:rsid w:val="008E6E36"/>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8E6E36"/>
    <w:rPr>
      <w:vertAlign w:val="superscript"/>
    </w:rPr>
  </w:style>
  <w:style w:type="paragraph" w:styleId="Prrafodelista">
    <w:name w:val="List Paragraph"/>
    <w:basedOn w:val="Normal"/>
    <w:uiPriority w:val="99"/>
    <w:qFormat/>
    <w:rsid w:val="008E6E36"/>
    <w:pPr>
      <w:widowControl w:val="0"/>
      <w:suppressAutoHyphens/>
      <w:ind w:left="708"/>
    </w:pPr>
    <w:rPr>
      <w:rFonts w:ascii="Tahoma" w:hAnsi="Tahoma" w:cs="Tahoma"/>
      <w:sz w:val="24"/>
      <w:szCs w:val="24"/>
      <w:lang w:val="es-ES_tradnl"/>
    </w:rPr>
  </w:style>
  <w:style w:type="paragraph" w:styleId="Sangradetextonormal">
    <w:name w:val="Body Text Indent"/>
    <w:basedOn w:val="Normal"/>
    <w:link w:val="SangradetextonormalCar"/>
    <w:uiPriority w:val="99"/>
    <w:semiHidden/>
    <w:rsid w:val="008E6E36"/>
    <w:pPr>
      <w:spacing w:after="120"/>
      <w:ind w:left="283"/>
      <w:jc w:val="both"/>
    </w:pPr>
    <w:rPr>
      <w:rFonts w:ascii="Tahoma" w:eastAsia="Calibri" w:hAnsi="Tahoma" w:cs="Tahoma"/>
      <w:sz w:val="22"/>
      <w:szCs w:val="22"/>
      <w:lang w:eastAsia="en-US"/>
    </w:rPr>
  </w:style>
  <w:style w:type="character" w:customStyle="1" w:styleId="SangradetextonormalCar">
    <w:name w:val="Sangría de texto normal Car"/>
    <w:basedOn w:val="Fuentedeprrafopredeter"/>
    <w:link w:val="Sangradetextonormal"/>
    <w:uiPriority w:val="99"/>
    <w:semiHidden/>
    <w:rsid w:val="008E6E36"/>
    <w:rPr>
      <w:rFonts w:ascii="Tahoma" w:eastAsia="Calibri" w:hAnsi="Tahoma" w:cs="Tahoma"/>
    </w:rPr>
  </w:style>
  <w:style w:type="paragraph" w:styleId="Encabezado">
    <w:name w:val="header"/>
    <w:aliases w:val="encabezado,Encabezado Car Car Car Car,Encabezado Car Car,maria,Encabezado1,h"/>
    <w:basedOn w:val="Normal"/>
    <w:link w:val="EncabezadoCar"/>
    <w:semiHidden/>
    <w:unhideWhenUsed/>
    <w:rsid w:val="00DF7DB5"/>
    <w:pPr>
      <w:tabs>
        <w:tab w:val="center" w:pos="4252"/>
        <w:tab w:val="right" w:pos="8504"/>
      </w:tabs>
    </w:pPr>
  </w:style>
  <w:style w:type="character" w:customStyle="1" w:styleId="EncabezadoCar">
    <w:name w:val="Encabezado Car"/>
    <w:aliases w:val="encabezado Car,Encabezado Car Car Car Car Car,Encabezado Car Car Car,maria Car,Encabezado1 Car,h Car"/>
    <w:basedOn w:val="Fuentedeprrafopredeter"/>
    <w:link w:val="Encabezado"/>
    <w:semiHidden/>
    <w:rsid w:val="00DF7DB5"/>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21130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2585</Words>
  <Characters>14221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10</cp:revision>
  <cp:lastPrinted>2011-01-27T16:58:00Z</cp:lastPrinted>
  <dcterms:created xsi:type="dcterms:W3CDTF">2011-01-27T16:35:00Z</dcterms:created>
  <dcterms:modified xsi:type="dcterms:W3CDTF">2011-02-08T15:52:00Z</dcterms:modified>
</cp:coreProperties>
</file>